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321E" w:rsidRPr="00282963" w:rsidRDefault="008C321E">
      <w:pPr>
        <w:spacing w:line="500" w:lineRule="exact"/>
        <w:jc w:val="center"/>
        <w:rPr>
          <w:rFonts w:ascii="標楷體" w:eastAsia="標楷體" w:hAnsi="標楷體"/>
          <w:color w:val="000000" w:themeColor="text1"/>
          <w:sz w:val="44"/>
        </w:rPr>
      </w:pPr>
      <w:r w:rsidRPr="00282963">
        <w:rPr>
          <w:rFonts w:ascii="標楷體" w:eastAsia="標楷體" w:hAnsi="標楷體" w:hint="eastAsia"/>
          <w:color w:val="000000" w:themeColor="text1"/>
          <w:spacing w:val="-40"/>
          <w:sz w:val="44"/>
        </w:rPr>
        <w:t>-----</w:t>
      </w:r>
      <w:r w:rsidRPr="00282963">
        <w:rPr>
          <w:rFonts w:ascii="標楷體" w:eastAsia="標楷體" w:hAnsi="標楷體" w:hint="eastAsia"/>
          <w:color w:val="000000" w:themeColor="text1"/>
          <w:sz w:val="44"/>
        </w:rPr>
        <w:t xml:space="preserve"> 申　報　須　知 </w:t>
      </w:r>
      <w:r w:rsidRPr="00282963">
        <w:rPr>
          <w:rFonts w:ascii="標楷體" w:eastAsia="標楷體" w:hAnsi="標楷體" w:hint="eastAsia"/>
          <w:color w:val="000000" w:themeColor="text1"/>
          <w:spacing w:val="-40"/>
          <w:sz w:val="44"/>
        </w:rPr>
        <w:t>-----</w:t>
      </w:r>
    </w:p>
    <w:p w:rsidR="008C321E" w:rsidRPr="00282963" w:rsidRDefault="008C321E">
      <w:pPr>
        <w:spacing w:line="260" w:lineRule="exact"/>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一、本申報書適用於</w:t>
      </w:r>
      <w:r w:rsidR="00734142" w:rsidRPr="00282963">
        <w:rPr>
          <w:rFonts w:ascii="標楷體" w:eastAsia="標楷體" w:hAnsi="標楷體" w:hint="eastAsia"/>
          <w:color w:val="000000" w:themeColor="text1"/>
          <w:sz w:val="22"/>
        </w:rPr>
        <w:t>除小規模營利事業外之</w:t>
      </w:r>
      <w:r w:rsidRPr="00282963">
        <w:rPr>
          <w:rFonts w:ascii="標楷體" w:eastAsia="標楷體" w:hAnsi="標楷體" w:hint="eastAsia"/>
          <w:color w:val="000000" w:themeColor="text1"/>
          <w:sz w:val="22"/>
        </w:rPr>
        <w:t>各營利事業申報之用。</w:t>
      </w:r>
    </w:p>
    <w:p w:rsidR="008C321E" w:rsidRPr="00282963" w:rsidRDefault="008C321E">
      <w:pPr>
        <w:pStyle w:val="a3"/>
        <w:spacing w:line="260" w:lineRule="exact"/>
        <w:jc w:val="both"/>
        <w:rPr>
          <w:rFonts w:hAnsi="標楷體"/>
          <w:color w:val="000000" w:themeColor="text1"/>
        </w:rPr>
      </w:pPr>
      <w:r w:rsidRPr="00282963">
        <w:rPr>
          <w:rFonts w:hAnsi="標楷體" w:hint="eastAsia"/>
          <w:color w:val="000000" w:themeColor="text1"/>
        </w:rPr>
        <w:t>二、本申報書「帳載結算金額」欄，應就帳簿記載之結算金額填列，「自行依法調整後金額」欄，應依照稅法及其他有關規定，將帳載結算金額分別調整計列之。</w:t>
      </w:r>
      <w:r w:rsidRPr="00282963">
        <w:rPr>
          <w:rFonts w:hint="eastAsia"/>
          <w:color w:val="000000" w:themeColor="text1"/>
        </w:rPr>
        <w:t>若「自行依法調整後金額」欄未填(即空白)，視同與「帳載結算金額」欄相同。</w:t>
      </w:r>
      <w:r w:rsidRPr="00282963">
        <w:rPr>
          <w:rFonts w:hAnsi="標楷體" w:hint="eastAsia"/>
          <w:color w:val="000000" w:themeColor="text1"/>
        </w:rPr>
        <w:t>如有下列事項得免予計入「自行依法調整後金額」欄：</w:t>
      </w:r>
    </w:p>
    <w:p w:rsidR="008C321E" w:rsidRPr="00282963" w:rsidRDefault="008C321E">
      <w:pPr>
        <w:numPr>
          <w:ilvl w:val="1"/>
          <w:numId w:val="3"/>
        </w:numPr>
        <w:tabs>
          <w:tab w:val="clear" w:pos="1200"/>
          <w:tab w:val="num" w:pos="1218"/>
        </w:tabs>
        <w:spacing w:line="260" w:lineRule="exact"/>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符合所得稅法第42條規定免計入所得額之轉投資收益。</w:t>
      </w:r>
    </w:p>
    <w:p w:rsidR="008C321E" w:rsidRPr="00282963" w:rsidRDefault="008C321E">
      <w:pPr>
        <w:numPr>
          <w:ilvl w:val="1"/>
          <w:numId w:val="3"/>
        </w:numPr>
        <w:tabs>
          <w:tab w:val="clear" w:pos="1200"/>
          <w:tab w:val="num" w:pos="1218"/>
        </w:tabs>
        <w:spacing w:line="260" w:lineRule="exact"/>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符合已廢止之88年12月31日修正公布前促進產業升級條例第16條及第17條規定緩課之股票股利。</w:t>
      </w:r>
    </w:p>
    <w:p w:rsidR="008C321E" w:rsidRPr="00282963" w:rsidRDefault="008C321E">
      <w:pPr>
        <w:pStyle w:val="a3"/>
        <w:spacing w:line="260" w:lineRule="exact"/>
        <w:jc w:val="both"/>
        <w:rPr>
          <w:color w:val="000000" w:themeColor="text1"/>
        </w:rPr>
      </w:pPr>
      <w:r w:rsidRPr="00282963">
        <w:rPr>
          <w:rFonts w:hint="eastAsia"/>
          <w:color w:val="000000" w:themeColor="text1"/>
        </w:rPr>
        <w:t>三、營利事業辦理所得稅結算申報時，備妥下列各項附表（相關格式內容可至各地區國稅局網站下載），俟稽徵機關查核時，如有需要再行通知檢送之。</w:t>
      </w:r>
    </w:p>
    <w:p w:rsidR="008C321E" w:rsidRPr="00282963" w:rsidRDefault="008C321E">
      <w:pPr>
        <w:pStyle w:val="a3"/>
        <w:spacing w:line="260" w:lineRule="exact"/>
        <w:ind w:leftChars="200" w:left="920"/>
        <w:jc w:val="both"/>
        <w:rPr>
          <w:color w:val="000000" w:themeColor="text1"/>
        </w:rPr>
      </w:pPr>
      <w:r w:rsidRPr="00282963">
        <w:rPr>
          <w:rFonts w:hint="eastAsia"/>
          <w:color w:val="000000" w:themeColor="text1"/>
        </w:rPr>
        <w:t>（一）期末存貨明細表1份。</w:t>
      </w:r>
    </w:p>
    <w:p w:rsidR="008C321E" w:rsidRPr="00282963" w:rsidRDefault="008C321E">
      <w:pPr>
        <w:pStyle w:val="a3"/>
        <w:spacing w:line="260" w:lineRule="exact"/>
        <w:ind w:leftChars="200" w:left="920"/>
        <w:jc w:val="both"/>
        <w:rPr>
          <w:color w:val="000000" w:themeColor="text1"/>
        </w:rPr>
      </w:pPr>
      <w:r w:rsidRPr="00282963">
        <w:rPr>
          <w:rFonts w:hint="eastAsia"/>
          <w:color w:val="000000" w:themeColor="text1"/>
        </w:rPr>
        <w:t>（二）期末原料、物料、製成品及在製品存貨明細表各1份（製造業用）。</w:t>
      </w:r>
    </w:p>
    <w:p w:rsidR="008C321E" w:rsidRPr="00282963" w:rsidRDefault="008C321E">
      <w:pPr>
        <w:pStyle w:val="a3"/>
        <w:spacing w:line="260" w:lineRule="exact"/>
        <w:ind w:leftChars="200" w:left="920"/>
        <w:jc w:val="both"/>
        <w:rPr>
          <w:color w:val="000000" w:themeColor="text1"/>
        </w:rPr>
      </w:pPr>
      <w:r w:rsidRPr="00282963">
        <w:rPr>
          <w:rFonts w:hint="eastAsia"/>
          <w:color w:val="000000" w:themeColor="text1"/>
        </w:rPr>
        <w:t>（三）直接原料明細表及單位成本分析表各1份（製造業用）。</w:t>
      </w:r>
    </w:p>
    <w:p w:rsidR="008C321E" w:rsidRPr="00282963" w:rsidRDefault="008C321E">
      <w:pPr>
        <w:pStyle w:val="a3"/>
        <w:spacing w:line="260" w:lineRule="exact"/>
        <w:ind w:leftChars="200" w:left="1140" w:hangingChars="300" w:hanging="660"/>
        <w:jc w:val="both"/>
        <w:rPr>
          <w:color w:val="000000" w:themeColor="text1"/>
        </w:rPr>
      </w:pPr>
      <w:r w:rsidRPr="00282963">
        <w:rPr>
          <w:rFonts w:hint="eastAsia"/>
          <w:color w:val="000000" w:themeColor="text1"/>
        </w:rPr>
        <w:t>（四）工程成本分析表、材料耗用分析表及未完工程分析表各1份，長期工程採完工</w:t>
      </w:r>
      <w:r w:rsidR="00FA46C7" w:rsidRPr="00282963">
        <w:rPr>
          <w:rFonts w:hint="eastAsia"/>
          <w:color w:val="000000" w:themeColor="text1"/>
        </w:rPr>
        <w:t>比例</w:t>
      </w:r>
      <w:r w:rsidRPr="00282963">
        <w:rPr>
          <w:rFonts w:hint="eastAsia"/>
          <w:color w:val="000000" w:themeColor="text1"/>
        </w:rPr>
        <w:t>法時，應加附長期工程完工比例法工程損益計算表（其他業用）。</w:t>
      </w:r>
    </w:p>
    <w:p w:rsidR="008C321E" w:rsidRPr="00282963" w:rsidRDefault="008C321E">
      <w:pPr>
        <w:spacing w:line="260" w:lineRule="exact"/>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四、各營利事業之產品或經營之業務，合於獎勵減免規定，申報獎勵減免所得額者，應依照規定檢齊證件並加蓋印章，以憑辦理減免手續。</w:t>
      </w:r>
    </w:p>
    <w:p w:rsidR="008C321E" w:rsidRPr="00282963" w:rsidRDefault="008C321E">
      <w:pPr>
        <w:spacing w:line="260" w:lineRule="exact"/>
        <w:ind w:left="418" w:hangingChars="190" w:hanging="418"/>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五、營利事業計算課稅所得額時，除屬依所得稅法及國際金融業務條例規定停徵、免徵或免納營利事業所得稅之所得額，應先行減除外，其屬依其他法律規定免徵或免納營利事業所得稅之所得額</w:t>
      </w:r>
      <w:r w:rsidR="00B97905" w:rsidRPr="003D1461">
        <w:rPr>
          <w:rFonts w:ascii="標楷體" w:eastAsia="標楷體" w:hAnsi="標楷體" w:hint="eastAsia"/>
          <w:b/>
          <w:color w:val="FF0000"/>
          <w:sz w:val="22"/>
          <w:highlight w:val="yellow"/>
        </w:rPr>
        <w:t>、加成或加倍減除之成本或費用</w:t>
      </w:r>
      <w:r w:rsidRPr="00282963">
        <w:rPr>
          <w:rFonts w:ascii="標楷體" w:eastAsia="標楷體" w:hAnsi="標楷體" w:hint="eastAsia"/>
          <w:color w:val="000000" w:themeColor="text1"/>
          <w:sz w:val="22"/>
        </w:rPr>
        <w:t>及所得稅法第39條規定以往年度營業虧損之減除順序及金額，由營利事業於申報時自行擇定之；其得自全年所得額減除之項目如下，應於辦理結算申報同時申報：</w:t>
      </w:r>
    </w:p>
    <w:p w:rsidR="008C321E" w:rsidRPr="00282963" w:rsidRDefault="008C321E" w:rsidP="003B5915">
      <w:pPr>
        <w:spacing w:line="260" w:lineRule="exact"/>
        <w:ind w:leftChars="177" w:left="425"/>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（一）依國際金融業務條例第13條、第22條之7及第22條之16規定免徵營利事業所得稅之所得額。</w:t>
      </w:r>
    </w:p>
    <w:p w:rsidR="008C321E" w:rsidRPr="00282963" w:rsidRDefault="008C321E" w:rsidP="003B5915">
      <w:pPr>
        <w:shd w:val="clear" w:color="auto" w:fill="FFFFFF"/>
        <w:spacing w:line="260" w:lineRule="exact"/>
        <w:ind w:leftChars="59" w:left="142" w:firstLine="1"/>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 xml:space="preserve">        </w:t>
      </w:r>
      <w:r w:rsidR="003B5915">
        <w:rPr>
          <w:rFonts w:ascii="標楷體" w:eastAsia="標楷體" w:hAnsi="標楷體"/>
          <w:color w:val="000000" w:themeColor="text1"/>
          <w:sz w:val="22"/>
        </w:rPr>
        <w:t xml:space="preserve"> </w:t>
      </w:r>
      <w:r w:rsidRPr="00282963">
        <w:rPr>
          <w:rFonts w:ascii="標楷體" w:eastAsia="標楷體" w:hAnsi="標楷體" w:hint="eastAsia"/>
          <w:color w:val="000000" w:themeColor="text1"/>
          <w:sz w:val="22"/>
        </w:rPr>
        <w:t>(註1：國際金融(證券、保險)業務分行(分公司)之收入應先列為營業收入，經扣除相關成本費用之淨額再於第93欄減除。）</w:t>
      </w:r>
    </w:p>
    <w:p w:rsidR="008C321E" w:rsidRPr="00282963" w:rsidRDefault="008C321E" w:rsidP="003B5915">
      <w:pPr>
        <w:shd w:val="clear" w:color="auto" w:fill="FFFFFF"/>
        <w:spacing w:line="260" w:lineRule="exact"/>
        <w:ind w:leftChars="59" w:left="142" w:firstLineChars="400" w:firstLine="880"/>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 xml:space="preserve">（註2：不包括依所得稅法第73條之1規定就其授信收入總額按規定之扣繳率申報納稅之所得額。）　</w:t>
      </w:r>
    </w:p>
    <w:p w:rsidR="008C321E" w:rsidRPr="00282963" w:rsidRDefault="008C321E" w:rsidP="003B5915">
      <w:pPr>
        <w:shd w:val="clear" w:color="auto" w:fill="FFFFFF"/>
        <w:spacing w:line="260" w:lineRule="exact"/>
        <w:ind w:leftChars="59" w:left="142" w:firstLineChars="129" w:firstLine="284"/>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（二）依所得稅法第4條之1及第4條之2規定停徵之證券交易所得及期貨交易所得</w:t>
      </w:r>
      <w:r w:rsidR="00DA4728" w:rsidRPr="003D1461">
        <w:rPr>
          <w:rFonts w:ascii="標楷體" w:eastAsia="標楷體" w:hAnsi="標楷體" w:hint="eastAsia"/>
          <w:b/>
          <w:color w:val="FF0000"/>
          <w:sz w:val="22"/>
          <w:highlight w:val="yellow"/>
        </w:rPr>
        <w:t>(應先填入第40欄或第48欄再於第99欄減除)</w:t>
      </w:r>
      <w:r w:rsidRPr="00282963">
        <w:rPr>
          <w:rFonts w:ascii="標楷體" w:eastAsia="標楷體" w:hAnsi="標楷體" w:hint="eastAsia"/>
          <w:color w:val="000000" w:themeColor="text1"/>
          <w:sz w:val="22"/>
        </w:rPr>
        <w:t>。</w:t>
      </w:r>
    </w:p>
    <w:p w:rsidR="008C321E" w:rsidRPr="00282963" w:rsidRDefault="008C321E" w:rsidP="003B5915">
      <w:pPr>
        <w:shd w:val="clear" w:color="auto" w:fill="FFFFFF"/>
        <w:spacing w:line="260" w:lineRule="exact"/>
        <w:ind w:leftChars="59" w:left="142" w:firstLineChars="400" w:firstLine="880"/>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w:t>
      </w:r>
      <w:bookmarkStart w:id="0" w:name="_GoBack"/>
      <w:bookmarkEnd w:id="0"/>
      <w:r w:rsidRPr="00282963">
        <w:rPr>
          <w:rFonts w:ascii="標楷體" w:eastAsia="標楷體" w:hAnsi="標楷體" w:hint="eastAsia"/>
          <w:color w:val="000000" w:themeColor="text1"/>
          <w:sz w:val="22"/>
        </w:rPr>
        <w:t>註：以證券、期貨投資為業之營利事業出售證券收入、期貨收入應列為營業收入，其交易所得再自全年所得額減除。）</w:t>
      </w:r>
    </w:p>
    <w:p w:rsidR="008C321E" w:rsidRPr="006063D1" w:rsidRDefault="008C321E" w:rsidP="006063D1">
      <w:pPr>
        <w:spacing w:line="260" w:lineRule="exact"/>
        <w:ind w:leftChars="184" w:left="1102" w:hangingChars="300" w:hanging="660"/>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（三）符合所得稅法第4條第1項第16款</w:t>
      </w:r>
      <w:r w:rsidR="006063D1" w:rsidRPr="003D1461">
        <w:rPr>
          <w:rFonts w:ascii="標楷體" w:eastAsia="標楷體" w:hAnsi="標楷體" w:hint="eastAsia"/>
          <w:b/>
          <w:color w:val="FF0000"/>
          <w:sz w:val="22"/>
          <w:highlight w:val="yellow"/>
        </w:rPr>
        <w:t>、第4條之5第1項</w:t>
      </w:r>
      <w:r w:rsidR="006063D1" w:rsidRPr="006063D1">
        <w:rPr>
          <w:rFonts w:ascii="標楷體" w:eastAsia="標楷體" w:hAnsi="標楷體" w:hint="eastAsia"/>
          <w:color w:val="000000" w:themeColor="text1"/>
          <w:sz w:val="22"/>
        </w:rPr>
        <w:t>規定免</w:t>
      </w:r>
      <w:r w:rsidR="006063D1" w:rsidRPr="003D1461">
        <w:rPr>
          <w:rFonts w:ascii="標楷體" w:eastAsia="標楷體" w:hAnsi="標楷體" w:hint="eastAsia"/>
          <w:b/>
          <w:color w:val="FF0000"/>
          <w:sz w:val="22"/>
          <w:highlight w:val="yellow"/>
        </w:rPr>
        <w:t>納</w:t>
      </w:r>
      <w:r w:rsidR="006063D1" w:rsidRPr="006063D1">
        <w:rPr>
          <w:rFonts w:ascii="標楷體" w:eastAsia="標楷體" w:hAnsi="標楷體" w:hint="eastAsia"/>
          <w:color w:val="000000" w:themeColor="text1"/>
          <w:sz w:val="22"/>
        </w:rPr>
        <w:t>所得稅</w:t>
      </w:r>
      <w:r w:rsidR="006063D1" w:rsidRPr="003D1461">
        <w:rPr>
          <w:rFonts w:ascii="標楷體" w:eastAsia="標楷體" w:hAnsi="標楷體" w:hint="eastAsia"/>
          <w:b/>
          <w:color w:val="FF0000"/>
          <w:sz w:val="22"/>
          <w:highlight w:val="yellow"/>
        </w:rPr>
        <w:t>之土地、土地改良物交易所得 (應先填入第40欄或第48欄再於第101欄減除)</w:t>
      </w:r>
      <w:r w:rsidRPr="00282963">
        <w:rPr>
          <w:rFonts w:ascii="標楷體" w:eastAsia="標楷體" w:hAnsi="標楷體" w:hint="eastAsia"/>
          <w:color w:val="000000" w:themeColor="text1"/>
          <w:sz w:val="22"/>
        </w:rPr>
        <w:t>。</w:t>
      </w:r>
      <w:r w:rsidR="006063D1">
        <w:rPr>
          <w:rFonts w:ascii="標楷體" w:eastAsia="標楷體" w:hAnsi="標楷體" w:hint="eastAsia"/>
          <w:color w:val="000000" w:themeColor="text1"/>
          <w:sz w:val="22"/>
        </w:rPr>
        <w:t>（</w:t>
      </w:r>
      <w:r w:rsidRPr="006063D1">
        <w:rPr>
          <w:rFonts w:ascii="標楷體" w:eastAsia="標楷體" w:hAnsi="標楷體" w:hint="eastAsia"/>
          <w:color w:val="000000" w:themeColor="text1"/>
          <w:sz w:val="22"/>
        </w:rPr>
        <w:t>註：</w:t>
      </w:r>
      <w:r w:rsidRPr="006063D1">
        <w:rPr>
          <w:rFonts w:ascii="標楷體" w:eastAsia="標楷體" w:hAnsi="標楷體"/>
          <w:color w:val="000000" w:themeColor="text1"/>
          <w:sz w:val="22"/>
        </w:rPr>
        <w:t>以房地買賣為業</w:t>
      </w:r>
      <w:r w:rsidRPr="006063D1">
        <w:rPr>
          <w:rFonts w:ascii="標楷體" w:eastAsia="標楷體" w:hAnsi="標楷體" w:hint="eastAsia"/>
          <w:color w:val="000000" w:themeColor="text1"/>
          <w:sz w:val="22"/>
        </w:rPr>
        <w:t>之營利事業出售屬存貨性質之土地的收入應列為營業收入，其</w:t>
      </w:r>
      <w:r w:rsidR="007932DA" w:rsidRPr="003D1461">
        <w:rPr>
          <w:rFonts w:ascii="標楷體" w:eastAsia="標楷體" w:hAnsi="標楷體" w:hint="eastAsia"/>
          <w:b/>
          <w:color w:val="FF0000"/>
          <w:sz w:val="22"/>
          <w:highlight w:val="yellow"/>
        </w:rPr>
        <w:t>利</w:t>
      </w:r>
      <w:r w:rsidRPr="006063D1">
        <w:rPr>
          <w:rFonts w:ascii="標楷體" w:eastAsia="標楷體" w:hAnsi="標楷體" w:hint="eastAsia"/>
          <w:color w:val="000000" w:themeColor="text1"/>
          <w:sz w:val="22"/>
        </w:rPr>
        <w:t>益再自全年所得額減除。）</w:t>
      </w:r>
    </w:p>
    <w:p w:rsidR="008C321E" w:rsidRPr="00282963" w:rsidRDefault="008C321E">
      <w:pPr>
        <w:spacing w:line="260" w:lineRule="exact"/>
        <w:ind w:left="440" w:hangingChars="200" w:hanging="440"/>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 xml:space="preserve">    （四）合於獎勵規定之免稅所得。</w:t>
      </w:r>
    </w:p>
    <w:p w:rsidR="008C321E" w:rsidRPr="00282963" w:rsidRDefault="008C321E">
      <w:pPr>
        <w:spacing w:line="260" w:lineRule="exact"/>
        <w:ind w:leftChars="180" w:left="1096" w:hangingChars="302" w:hanging="664"/>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五）凡在62年12月31日前購買或取得營利事業公開發行並上市之記名股票或記名公司債，各級政府或專業銀行之公債或金融債券，其交易所得額中，應屬於62年12月31日前發生之部分。（廢止前獎勵投資條例第26條第1項）</w:t>
      </w:r>
    </w:p>
    <w:p w:rsidR="008C321E" w:rsidRPr="00282963" w:rsidRDefault="008C321E">
      <w:pPr>
        <w:spacing w:line="260" w:lineRule="exact"/>
        <w:ind w:left="1100" w:hangingChars="500" w:hanging="1100"/>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 xml:space="preserve">    （六</w:t>
      </w:r>
      <w:r w:rsidRPr="00282963">
        <w:rPr>
          <w:rFonts w:ascii="標楷體" w:eastAsia="標楷體" w:hAnsi="標楷體"/>
          <w:color w:val="000000" w:themeColor="text1"/>
          <w:sz w:val="22"/>
        </w:rPr>
        <w:t>）</w:t>
      </w:r>
      <w:r w:rsidRPr="00282963">
        <w:rPr>
          <w:rFonts w:ascii="標楷體" w:eastAsia="標楷體" w:hAnsi="標楷體" w:hint="eastAsia"/>
          <w:color w:val="000000" w:themeColor="text1"/>
          <w:sz w:val="22"/>
        </w:rPr>
        <w:t>依公債條例規定免徵所得稅之利息。(應先填入第38欄再於第58欄減除)</w:t>
      </w:r>
    </w:p>
    <w:p w:rsidR="008C321E" w:rsidRPr="00282963" w:rsidRDefault="008C321E">
      <w:pPr>
        <w:spacing w:line="260" w:lineRule="exact"/>
        <w:ind w:left="1100" w:hangingChars="500" w:hanging="1100"/>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 xml:space="preserve">    （七</w:t>
      </w:r>
      <w:r w:rsidRPr="00282963">
        <w:rPr>
          <w:rFonts w:ascii="標楷體" w:eastAsia="標楷體" w:hAnsi="標楷體"/>
          <w:color w:val="000000" w:themeColor="text1"/>
          <w:sz w:val="22"/>
        </w:rPr>
        <w:t>）</w:t>
      </w:r>
      <w:r w:rsidRPr="00282963">
        <w:rPr>
          <w:rFonts w:ascii="標楷體" w:eastAsia="標楷體" w:hAnsi="標楷體" w:hint="eastAsia"/>
          <w:color w:val="000000" w:themeColor="text1"/>
          <w:sz w:val="22"/>
        </w:rPr>
        <w:t>以有</w:t>
      </w:r>
      <w:r w:rsidRPr="00282963">
        <w:rPr>
          <w:rFonts w:ascii="標楷體" w:eastAsia="標楷體" w:hAnsi="標楷體"/>
          <w:color w:val="000000" w:themeColor="text1"/>
          <w:sz w:val="22"/>
        </w:rPr>
        <w:t>價證券或期貨買賣為業</w:t>
      </w:r>
      <w:r w:rsidRPr="00282963">
        <w:rPr>
          <w:rFonts w:ascii="標楷體" w:eastAsia="標楷體" w:hAnsi="標楷體" w:hint="eastAsia"/>
          <w:color w:val="000000" w:themeColor="text1"/>
          <w:sz w:val="22"/>
        </w:rPr>
        <w:t>之營利事業投資收益總額應列為營業收入，經分攤營業費用及利息支出後之投資收益淨額再於第58欄減除。</w:t>
      </w:r>
    </w:p>
    <w:p w:rsidR="008C321E" w:rsidRPr="003B5915" w:rsidRDefault="008C321E" w:rsidP="003B5915">
      <w:pPr>
        <w:spacing w:line="260" w:lineRule="exact"/>
        <w:ind w:leftChars="200" w:left="1140" w:hangingChars="300" w:hanging="660"/>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八）公司組織之營利事業，會計帳冊簿據完備，其營利事業所得稅結算申報，經核准使用藍色申報書或委託會計師查核簽證並如期申報及繳納稅款者，其前十年各期核定虧損之本年度扣除額。所稱前十年各期核定虧損，係指經稽徵機關核定之9</w:t>
      </w:r>
      <w:r w:rsidR="00282963">
        <w:rPr>
          <w:rFonts w:ascii="標楷體" w:eastAsia="標楷體" w:hAnsi="標楷體" w:hint="eastAsia"/>
          <w:color w:val="000000" w:themeColor="text1"/>
          <w:sz w:val="22"/>
        </w:rPr>
        <w:t>6</w:t>
      </w:r>
      <w:r w:rsidRPr="00282963">
        <w:rPr>
          <w:rFonts w:ascii="標楷體" w:eastAsia="標楷體" w:hAnsi="標楷體" w:hint="eastAsia"/>
          <w:color w:val="000000" w:themeColor="text1"/>
          <w:sz w:val="22"/>
        </w:rPr>
        <w:t>年度以後(含9</w:t>
      </w:r>
      <w:r w:rsidR="00282963">
        <w:rPr>
          <w:rFonts w:ascii="標楷體" w:eastAsia="標楷體" w:hAnsi="標楷體"/>
          <w:color w:val="000000" w:themeColor="text1"/>
          <w:sz w:val="22"/>
        </w:rPr>
        <w:t>6</w:t>
      </w:r>
      <w:r w:rsidRPr="00282963">
        <w:rPr>
          <w:rFonts w:ascii="標楷體" w:eastAsia="標楷體" w:hAnsi="標楷體" w:hint="eastAsia"/>
          <w:color w:val="000000" w:themeColor="text1"/>
          <w:sz w:val="22"/>
        </w:rPr>
        <w:t>年度)之虧損，尚未依法扣除完畢者。</w:t>
      </w:r>
      <w:r w:rsidR="00AD7DBA" w:rsidRPr="00AD7DBA">
        <w:rPr>
          <w:rFonts w:ascii="標楷體" w:eastAsia="標楷體" w:hAnsi="標楷體" w:hint="eastAsia"/>
          <w:b/>
          <w:color w:val="FF0000"/>
          <w:sz w:val="22"/>
          <w:highlight w:val="yellow"/>
        </w:rPr>
        <w:t>當年度扣除前</w:t>
      </w:r>
      <w:r w:rsidR="00F53CAD">
        <w:rPr>
          <w:rFonts w:ascii="標楷體" w:eastAsia="標楷體" w:hAnsi="標楷體" w:hint="eastAsia"/>
          <w:b/>
          <w:color w:val="FF0000"/>
          <w:sz w:val="22"/>
          <w:highlight w:val="yellow"/>
        </w:rPr>
        <w:t>十</w:t>
      </w:r>
      <w:r w:rsidR="00AD7DBA" w:rsidRPr="00AD7DBA">
        <w:rPr>
          <w:rFonts w:ascii="標楷體" w:eastAsia="標楷體" w:hAnsi="標楷體" w:hint="eastAsia"/>
          <w:b/>
          <w:color w:val="FF0000"/>
          <w:sz w:val="22"/>
          <w:highlight w:val="yellow"/>
        </w:rPr>
        <w:t>年核定虧損前之所得額未逾起徵額(12萬元)者，無須將核定之前</w:t>
      </w:r>
      <w:r w:rsidR="00F53CAD">
        <w:rPr>
          <w:rFonts w:ascii="標楷體" w:eastAsia="標楷體" w:hAnsi="標楷體" w:hint="eastAsia"/>
          <w:b/>
          <w:color w:val="FF0000"/>
          <w:sz w:val="22"/>
          <w:highlight w:val="yellow"/>
        </w:rPr>
        <w:t>十</w:t>
      </w:r>
      <w:r w:rsidR="00AD7DBA" w:rsidRPr="00AD7DBA">
        <w:rPr>
          <w:rFonts w:ascii="標楷體" w:eastAsia="標楷體" w:hAnsi="標楷體" w:hint="eastAsia"/>
          <w:b/>
          <w:color w:val="FF0000"/>
          <w:sz w:val="22"/>
          <w:highlight w:val="yellow"/>
        </w:rPr>
        <w:t>年虧損自當年度純益額扣除；</w:t>
      </w:r>
      <w:r w:rsidR="00F8426F" w:rsidRPr="00F8426F">
        <w:rPr>
          <w:rFonts w:ascii="標楷體" w:eastAsia="標楷體" w:hAnsi="標楷體" w:hint="eastAsia"/>
          <w:b/>
          <w:color w:val="0070C0"/>
          <w:sz w:val="22"/>
          <w:highlight w:val="green"/>
        </w:rPr>
        <w:t>所得額扣除前十年虧損時</w:t>
      </w:r>
      <w:r w:rsidR="00AD7DBA" w:rsidRPr="00AD7DBA">
        <w:rPr>
          <w:rFonts w:ascii="標楷體" w:eastAsia="標楷體" w:hAnsi="標楷體" w:hint="eastAsia"/>
          <w:b/>
          <w:color w:val="FF0000"/>
          <w:sz w:val="22"/>
          <w:highlight w:val="yellow"/>
        </w:rPr>
        <w:t>，不得僅扣除至起徵額。</w:t>
      </w:r>
      <w:r w:rsidRPr="003B5915">
        <w:rPr>
          <w:rFonts w:ascii="標楷體" w:eastAsia="標楷體" w:hAnsi="標楷體" w:hint="eastAsia"/>
          <w:color w:val="000000" w:themeColor="text1"/>
          <w:sz w:val="22"/>
        </w:rPr>
        <w:t>(</w:t>
      </w:r>
      <w:r w:rsidRPr="003B5915">
        <w:rPr>
          <w:rFonts w:ascii="標楷體" w:eastAsia="標楷體" w:hAnsi="標楷體"/>
          <w:color w:val="000000" w:themeColor="text1"/>
          <w:sz w:val="22"/>
        </w:rPr>
        <w:t>註：各該</w:t>
      </w:r>
      <w:r w:rsidRPr="003B5915">
        <w:rPr>
          <w:rFonts w:ascii="標楷體" w:eastAsia="標楷體" w:hAnsi="標楷體" w:hint="eastAsia"/>
          <w:color w:val="000000" w:themeColor="text1"/>
          <w:sz w:val="22"/>
        </w:rPr>
        <w:t>虧損年度有所得稅</w:t>
      </w:r>
      <w:r w:rsidRPr="003B5915">
        <w:rPr>
          <w:rFonts w:ascii="標楷體" w:eastAsia="標楷體" w:hAnsi="標楷體"/>
          <w:color w:val="000000" w:themeColor="text1"/>
          <w:sz w:val="22"/>
        </w:rPr>
        <w:t>法第42條規定</w:t>
      </w:r>
      <w:r w:rsidRPr="003B5915">
        <w:rPr>
          <w:rFonts w:ascii="標楷體" w:eastAsia="標楷體" w:hAnsi="標楷體" w:hint="eastAsia"/>
          <w:color w:val="000000" w:themeColor="text1"/>
          <w:sz w:val="22"/>
        </w:rPr>
        <w:t>不</w:t>
      </w:r>
      <w:r w:rsidRPr="003B5915">
        <w:rPr>
          <w:rFonts w:ascii="標楷體" w:eastAsia="標楷體" w:hAnsi="標楷體"/>
          <w:color w:val="000000" w:themeColor="text1"/>
          <w:sz w:val="22"/>
        </w:rPr>
        <w:t>計入所得額之投資收益，</w:t>
      </w:r>
      <w:r w:rsidRPr="003B5915">
        <w:rPr>
          <w:rFonts w:ascii="標楷體" w:eastAsia="標楷體" w:hAnsi="標楷體" w:hint="eastAsia"/>
          <w:color w:val="000000" w:themeColor="text1"/>
          <w:sz w:val="22"/>
        </w:rPr>
        <w:t>應</w:t>
      </w:r>
      <w:r w:rsidRPr="003B5915">
        <w:rPr>
          <w:rFonts w:ascii="標楷體" w:eastAsia="標楷體" w:hAnsi="標楷體"/>
          <w:color w:val="000000" w:themeColor="text1"/>
          <w:sz w:val="22"/>
        </w:rPr>
        <w:t>先行抵減各該期之核定虧損後，再以虧損之餘額，自本年度純益額中扣除</w:t>
      </w:r>
      <w:r w:rsidRPr="003B5915">
        <w:rPr>
          <w:rFonts w:ascii="標楷體" w:eastAsia="標楷體" w:hAnsi="標楷體" w:hint="eastAsia"/>
          <w:color w:val="000000" w:themeColor="text1"/>
          <w:sz w:val="22"/>
        </w:rPr>
        <w:t>；</w:t>
      </w:r>
      <w:r w:rsidR="0085300F" w:rsidRPr="003B5915">
        <w:rPr>
          <w:rFonts w:ascii="標楷體" w:eastAsia="標楷體" w:hAnsi="標楷體" w:hint="eastAsia"/>
          <w:color w:val="000000" w:themeColor="text1"/>
          <w:sz w:val="22"/>
        </w:rPr>
        <w:t>合於獎勵規定之</w:t>
      </w:r>
      <w:r w:rsidRPr="003B5915">
        <w:rPr>
          <w:rFonts w:ascii="標楷體" w:eastAsia="標楷體" w:hAnsi="標楷體" w:hint="eastAsia"/>
          <w:color w:val="000000" w:themeColor="text1"/>
          <w:sz w:val="22"/>
        </w:rPr>
        <w:t>免稅所得大於全年</w:t>
      </w:r>
      <w:r w:rsidR="0085300F" w:rsidRPr="003B5915">
        <w:rPr>
          <w:rFonts w:ascii="標楷體" w:eastAsia="標楷體" w:hAnsi="標楷體" w:hint="eastAsia"/>
          <w:color w:val="000000" w:themeColor="text1"/>
          <w:sz w:val="22"/>
        </w:rPr>
        <w:t>核定</w:t>
      </w:r>
      <w:r w:rsidRPr="003B5915">
        <w:rPr>
          <w:rFonts w:ascii="標楷體" w:eastAsia="標楷體" w:hAnsi="標楷體" w:hint="eastAsia"/>
          <w:color w:val="000000" w:themeColor="text1"/>
          <w:sz w:val="22"/>
        </w:rPr>
        <w:t>所得額，因未發生</w:t>
      </w:r>
      <w:r w:rsidR="0030485B" w:rsidRPr="003B5915">
        <w:rPr>
          <w:rFonts w:ascii="標楷體" w:eastAsia="標楷體" w:hAnsi="標楷體" w:hint="eastAsia"/>
          <w:color w:val="000000" w:themeColor="text1"/>
          <w:sz w:val="22"/>
        </w:rPr>
        <w:t>實際</w:t>
      </w:r>
      <w:r w:rsidRPr="003B5915">
        <w:rPr>
          <w:rFonts w:ascii="標楷體" w:eastAsia="標楷體" w:hAnsi="標楷體" w:hint="eastAsia"/>
          <w:color w:val="000000" w:themeColor="text1"/>
          <w:sz w:val="22"/>
        </w:rPr>
        <w:t>虧損，無所得稅法第39條規定之適用)</w:t>
      </w:r>
    </w:p>
    <w:p w:rsidR="003B5915" w:rsidRDefault="008C321E" w:rsidP="003B5915">
      <w:pPr>
        <w:spacing w:line="260" w:lineRule="exact"/>
        <w:ind w:leftChars="200" w:left="1140" w:hangingChars="300" w:hanging="660"/>
        <w:jc w:val="distribute"/>
        <w:rPr>
          <w:rFonts w:ascii="標楷體" w:eastAsia="標楷體" w:hAnsi="標楷體"/>
          <w:color w:val="000000" w:themeColor="text1"/>
          <w:sz w:val="22"/>
        </w:rPr>
      </w:pPr>
      <w:r w:rsidRPr="00282963">
        <w:rPr>
          <w:rFonts w:ascii="標楷體" w:eastAsia="標楷體" w:hAnsi="標楷體" w:hint="eastAsia"/>
          <w:color w:val="000000" w:themeColor="text1"/>
          <w:sz w:val="22"/>
        </w:rPr>
        <w:t>（九）總機構在中華民國境內經營海運業務之營利事業，經中央目的事業主管機關核定，其海運業務收入選擇按船舶淨噸位計算營利事業所得額</w:t>
      </w:r>
    </w:p>
    <w:p w:rsidR="003B5915" w:rsidRDefault="008C321E" w:rsidP="003B5915">
      <w:pPr>
        <w:spacing w:line="260" w:lineRule="exact"/>
        <w:ind w:firstLineChars="500" w:firstLine="1100"/>
        <w:rPr>
          <w:rFonts w:ascii="標楷體" w:eastAsia="標楷體" w:hAnsi="標楷體"/>
          <w:color w:val="000000" w:themeColor="text1"/>
          <w:sz w:val="22"/>
        </w:rPr>
      </w:pPr>
      <w:r w:rsidRPr="00282963">
        <w:rPr>
          <w:rFonts w:ascii="標楷體" w:eastAsia="標楷體" w:hAnsi="標楷體" w:hint="eastAsia"/>
          <w:color w:val="000000" w:themeColor="text1"/>
          <w:sz w:val="22"/>
        </w:rPr>
        <w:t>者，請填第125欄及第126欄，不適用所得稅法第39條第1項但書關於虧損扣除及其他法律關於租稅減免規定</w:t>
      </w:r>
      <w:r w:rsidRPr="003B5915">
        <w:rPr>
          <w:rFonts w:ascii="標楷體" w:eastAsia="標楷體" w:hAnsi="標楷體" w:hint="eastAsia"/>
          <w:color w:val="000000" w:themeColor="text1"/>
          <w:sz w:val="22"/>
        </w:rPr>
        <w:t>；</w:t>
      </w:r>
      <w:r w:rsidRPr="00282963">
        <w:rPr>
          <w:rFonts w:ascii="標楷體" w:eastAsia="標楷體" w:hAnsi="標楷體" w:hint="eastAsia"/>
          <w:color w:val="000000" w:themeColor="text1"/>
          <w:sz w:val="22"/>
        </w:rPr>
        <w:t>非海運業務部分如為虧損，</w:t>
      </w:r>
      <w:r w:rsidR="003B5915">
        <w:rPr>
          <w:rFonts w:ascii="標楷體" w:eastAsia="標楷體" w:hAnsi="標楷體" w:hint="eastAsia"/>
          <w:color w:val="000000" w:themeColor="text1"/>
          <w:sz w:val="22"/>
        </w:rPr>
        <w:t xml:space="preserve">     </w:t>
      </w:r>
    </w:p>
    <w:p w:rsidR="008C321E" w:rsidRPr="00282963" w:rsidRDefault="008C321E" w:rsidP="003B5915">
      <w:pPr>
        <w:spacing w:line="260" w:lineRule="exact"/>
        <w:ind w:firstLineChars="500" w:firstLine="1100"/>
        <w:rPr>
          <w:rFonts w:ascii="標楷體" w:eastAsia="標楷體" w:hAnsi="標楷體"/>
          <w:color w:val="000000" w:themeColor="text1"/>
          <w:sz w:val="22"/>
        </w:rPr>
      </w:pPr>
      <w:r w:rsidRPr="00282963">
        <w:rPr>
          <w:rFonts w:ascii="標楷體" w:eastAsia="標楷體" w:hAnsi="標楷體" w:hint="eastAsia"/>
          <w:color w:val="000000" w:themeColor="text1"/>
          <w:sz w:val="22"/>
        </w:rPr>
        <w:t>於加總計算當年度課稅所得額時不得減除，應將非海運業務虧損金額（以負值表示）填列於第58欄。</w:t>
      </w:r>
    </w:p>
    <w:p w:rsidR="005064D1" w:rsidRDefault="005064D1" w:rsidP="003B5915">
      <w:pPr>
        <w:spacing w:line="260" w:lineRule="exact"/>
        <w:ind w:leftChars="200" w:left="1140" w:hangingChars="300" w:hanging="660"/>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（十）符合中小企業發展條例第36條之2及產業創新條例第12條之1</w:t>
      </w:r>
      <w:r w:rsidR="002F123A" w:rsidRPr="00282963">
        <w:rPr>
          <w:rFonts w:ascii="標楷體" w:eastAsia="標楷體" w:hAnsi="標楷體" w:hint="eastAsia"/>
          <w:color w:val="000000" w:themeColor="text1"/>
          <w:sz w:val="22"/>
        </w:rPr>
        <w:t>第1項</w:t>
      </w:r>
      <w:r w:rsidRPr="00282963">
        <w:rPr>
          <w:rFonts w:ascii="標楷體" w:eastAsia="標楷體" w:hAnsi="標楷體" w:hint="eastAsia"/>
          <w:color w:val="000000" w:themeColor="text1"/>
          <w:sz w:val="22"/>
        </w:rPr>
        <w:t>規定</w:t>
      </w:r>
      <w:r w:rsidR="00FA46C7" w:rsidRPr="00282963">
        <w:rPr>
          <w:rFonts w:ascii="標楷體" w:eastAsia="標楷體" w:hAnsi="標楷體" w:hint="eastAsia"/>
          <w:color w:val="000000" w:themeColor="text1"/>
          <w:sz w:val="22"/>
        </w:rPr>
        <w:t>加成(倍)</w:t>
      </w:r>
      <w:r w:rsidRPr="00282963">
        <w:rPr>
          <w:rFonts w:ascii="標楷體" w:eastAsia="標楷體" w:hAnsi="標楷體" w:hint="eastAsia"/>
          <w:color w:val="000000" w:themeColor="text1"/>
          <w:sz w:val="22"/>
        </w:rPr>
        <w:t>減除金額。</w:t>
      </w:r>
    </w:p>
    <w:p w:rsidR="001A60C9" w:rsidRPr="009208EF" w:rsidRDefault="003B5915" w:rsidP="001A60C9">
      <w:pPr>
        <w:spacing w:line="260" w:lineRule="exact"/>
        <w:ind w:firstLineChars="200" w:firstLine="440"/>
        <w:rPr>
          <w:rFonts w:ascii="標楷體" w:eastAsia="標楷體" w:hAnsi="標楷體"/>
          <w:b/>
          <w:color w:val="FF0000"/>
          <w:sz w:val="22"/>
          <w:highlight w:val="yellow"/>
        </w:rPr>
      </w:pPr>
      <w:r w:rsidRPr="003D1461">
        <w:rPr>
          <w:rFonts w:ascii="標楷體" w:eastAsia="標楷體" w:hAnsi="標楷體" w:hint="eastAsia"/>
          <w:b/>
          <w:color w:val="FF0000"/>
          <w:sz w:val="22"/>
          <w:highlight w:val="yellow"/>
        </w:rPr>
        <w:t>（十一）</w:t>
      </w:r>
      <w:r w:rsidR="001A60C9" w:rsidRPr="009208EF">
        <w:rPr>
          <w:rFonts w:ascii="標楷體" w:eastAsia="標楷體" w:hAnsi="標楷體" w:hint="eastAsia"/>
          <w:b/>
          <w:color w:val="FF0000"/>
          <w:sz w:val="22"/>
          <w:highlight w:val="yellow"/>
        </w:rPr>
        <w:t>申請適用農業發展條例第47條之1規定之獨資或合夥組織農場、農業合作社，應於辦理年度營利事業所得稅結算申報期限截止日前，取</w:t>
      </w:r>
    </w:p>
    <w:p w:rsidR="00C4060F" w:rsidRDefault="001A60C9" w:rsidP="00C4060F">
      <w:pPr>
        <w:spacing w:line="260" w:lineRule="exact"/>
        <w:ind w:firstLineChars="200" w:firstLine="440"/>
        <w:jc w:val="distribute"/>
        <w:rPr>
          <w:rFonts w:ascii="標楷體" w:eastAsia="標楷體" w:hAnsi="標楷體"/>
          <w:b/>
          <w:color w:val="FF0000"/>
          <w:sz w:val="22"/>
          <w:highlight w:val="yellow"/>
        </w:rPr>
      </w:pPr>
      <w:r w:rsidRPr="009208EF">
        <w:rPr>
          <w:rFonts w:ascii="標楷體" w:eastAsia="標楷體" w:hAnsi="標楷體"/>
          <w:b/>
          <w:color w:val="FF0000"/>
          <w:sz w:val="22"/>
        </w:rPr>
        <w:t xml:space="preserve">      </w:t>
      </w:r>
      <w:r w:rsidR="009208EF" w:rsidRPr="009208EF">
        <w:rPr>
          <w:rFonts w:ascii="標楷體" w:eastAsia="標楷體" w:hAnsi="標楷體"/>
          <w:b/>
          <w:color w:val="FF0000"/>
          <w:sz w:val="22"/>
        </w:rPr>
        <w:t xml:space="preserve">  </w:t>
      </w:r>
      <w:r w:rsidRPr="009208EF">
        <w:rPr>
          <w:rFonts w:ascii="標楷體" w:eastAsia="標楷體" w:hAnsi="標楷體" w:hint="eastAsia"/>
          <w:b/>
          <w:color w:val="FF0000"/>
          <w:sz w:val="22"/>
          <w:highlight w:val="yellow"/>
        </w:rPr>
        <w:t>得「農場及農業合作社申請免徵營利事業所得稅登記辦法」第7條第1項</w:t>
      </w:r>
      <w:r w:rsidR="00C4060F">
        <w:rPr>
          <w:rFonts w:ascii="標楷體" w:eastAsia="標楷體" w:hAnsi="標楷體" w:hint="eastAsia"/>
          <w:b/>
          <w:color w:val="FF0000"/>
          <w:sz w:val="22"/>
          <w:highlight w:val="yellow"/>
        </w:rPr>
        <w:t>規定</w:t>
      </w:r>
      <w:r w:rsidRPr="009208EF">
        <w:rPr>
          <w:rFonts w:ascii="標楷體" w:eastAsia="標楷體" w:hAnsi="標楷體" w:hint="eastAsia"/>
          <w:b/>
          <w:color w:val="FF0000"/>
          <w:sz w:val="22"/>
          <w:highlight w:val="yellow"/>
        </w:rPr>
        <w:t>登記文件，其銷售自行生產初級農產品之所得，得依規定免</w:t>
      </w:r>
      <w:r w:rsidR="00C4060F">
        <w:rPr>
          <w:rFonts w:ascii="標楷體" w:eastAsia="標楷體" w:hAnsi="標楷體" w:hint="eastAsia"/>
          <w:b/>
          <w:color w:val="FF0000"/>
          <w:sz w:val="22"/>
          <w:highlight w:val="yellow"/>
        </w:rPr>
        <w:t xml:space="preserve">     </w:t>
      </w:r>
    </w:p>
    <w:p w:rsidR="001A60C9" w:rsidRPr="00C4060F" w:rsidRDefault="00C4060F" w:rsidP="00C4060F">
      <w:pPr>
        <w:spacing w:line="260" w:lineRule="exact"/>
        <w:ind w:firstLineChars="200" w:firstLine="440"/>
        <w:rPr>
          <w:rFonts w:ascii="標楷體" w:eastAsia="標楷體" w:hAnsi="標楷體"/>
          <w:b/>
          <w:color w:val="FF0000"/>
          <w:sz w:val="22"/>
          <w:highlight w:val="yellow"/>
        </w:rPr>
      </w:pPr>
      <w:r w:rsidRPr="00C4060F">
        <w:rPr>
          <w:rFonts w:ascii="標楷體" w:eastAsia="標楷體" w:hAnsi="標楷體" w:hint="eastAsia"/>
          <w:b/>
          <w:color w:val="FF0000"/>
          <w:sz w:val="22"/>
        </w:rPr>
        <w:t xml:space="preserve">        </w:t>
      </w:r>
      <w:r w:rsidR="001A60C9" w:rsidRPr="009208EF">
        <w:rPr>
          <w:rFonts w:ascii="標楷體" w:eastAsia="標楷體" w:hAnsi="標楷體" w:hint="eastAsia"/>
          <w:b/>
          <w:color w:val="FF0000"/>
          <w:sz w:val="22"/>
          <w:highlight w:val="yellow"/>
        </w:rPr>
        <w:t>徵營利事業所得稅，上開所得額請填列於第57</w:t>
      </w:r>
      <w:r w:rsidR="00BA7230">
        <w:rPr>
          <w:rFonts w:ascii="標楷體" w:eastAsia="標楷體" w:hAnsi="標楷體" w:hint="eastAsia"/>
          <w:b/>
          <w:color w:val="FF0000"/>
          <w:sz w:val="22"/>
          <w:highlight w:val="yellow"/>
        </w:rPr>
        <w:t>欄，並</w:t>
      </w:r>
      <w:r w:rsidR="001A60C9" w:rsidRPr="009208EF">
        <w:rPr>
          <w:rFonts w:ascii="標楷體" w:eastAsia="標楷體" w:hAnsi="標楷體" w:hint="eastAsia"/>
          <w:b/>
          <w:color w:val="FF0000"/>
          <w:sz w:val="22"/>
          <w:highlight w:val="yellow"/>
        </w:rPr>
        <w:t>檢附證明文件。</w:t>
      </w:r>
    </w:p>
    <w:p w:rsidR="00974547" w:rsidRPr="006455D8" w:rsidRDefault="00974547" w:rsidP="00974547">
      <w:pPr>
        <w:tabs>
          <w:tab w:val="left" w:pos="567"/>
          <w:tab w:val="left" w:pos="1134"/>
          <w:tab w:val="left" w:pos="1276"/>
        </w:tabs>
        <w:spacing w:line="240" w:lineRule="exact"/>
        <w:ind w:leftChars="225" w:left="1311" w:hangingChars="350" w:hanging="771"/>
        <w:rPr>
          <w:rFonts w:ascii="標楷體" w:eastAsia="標楷體" w:hAnsi="標楷體"/>
          <w:b/>
          <w:color w:val="FF0000"/>
          <w:sz w:val="22"/>
          <w:highlight w:val="green"/>
        </w:rPr>
      </w:pPr>
      <w:r w:rsidRPr="006455D8">
        <w:rPr>
          <w:rFonts w:ascii="標楷體" w:eastAsia="標楷體" w:hAnsi="標楷體" w:hint="eastAsia"/>
          <w:b/>
          <w:color w:val="FF0000"/>
          <w:sz w:val="22"/>
          <w:highlight w:val="green"/>
        </w:rPr>
        <w:t>(十二) 符合106年度營利事業所得稅結算申報案件擴大書面審核實施要點第15點規定，</w:t>
      </w:r>
      <w:r>
        <w:rPr>
          <w:rFonts w:ascii="標楷體" w:eastAsia="標楷體" w:hAnsi="標楷體" w:hint="eastAsia"/>
          <w:b/>
          <w:color w:val="FF0000"/>
          <w:sz w:val="22"/>
          <w:highlight w:val="green"/>
        </w:rPr>
        <w:t>應</w:t>
      </w:r>
      <w:r w:rsidRPr="006455D8">
        <w:rPr>
          <w:rFonts w:ascii="標楷體" w:eastAsia="標楷體" w:hAnsi="標楷體" w:hint="eastAsia"/>
          <w:b/>
          <w:color w:val="FF0000"/>
          <w:sz w:val="22"/>
          <w:highlight w:val="green"/>
        </w:rPr>
        <w:t>檢附「受勞動基準法週休二日新制影響成本費用分析表」（相關格式內容可至各地區國稅局網站下載)，與本申報書一併申報，其適用該要點之純益率標準，</w:t>
      </w:r>
      <w:r w:rsidR="00676D6C" w:rsidRPr="00676D6C">
        <w:rPr>
          <w:rFonts w:ascii="標楷體" w:eastAsia="標楷體" w:hAnsi="標楷體" w:hint="eastAsia"/>
          <w:b/>
          <w:color w:val="FF0000"/>
          <w:sz w:val="22"/>
          <w:highlight w:val="green"/>
        </w:rPr>
        <w:t>得按該純益率標準之90%計算。</w:t>
      </w:r>
    </w:p>
    <w:p w:rsidR="008C321E" w:rsidRPr="00282963" w:rsidRDefault="008C321E">
      <w:pPr>
        <w:spacing w:afterLines="30" w:after="108" w:line="260" w:lineRule="exact"/>
        <w:rPr>
          <w:rFonts w:ascii="標楷體" w:eastAsia="標楷體" w:hAnsi="標楷體"/>
          <w:color w:val="000000" w:themeColor="text1"/>
          <w:sz w:val="22"/>
        </w:rPr>
      </w:pPr>
      <w:r w:rsidRPr="00282963">
        <w:rPr>
          <w:rFonts w:ascii="標楷體" w:eastAsia="標楷體" w:hAnsi="標楷體" w:hint="eastAsia"/>
          <w:color w:val="000000" w:themeColor="text1"/>
          <w:sz w:val="22"/>
        </w:rPr>
        <w:t>六、10</w:t>
      </w:r>
      <w:r w:rsidR="00282963">
        <w:rPr>
          <w:rFonts w:ascii="標楷體" w:eastAsia="標楷體" w:hAnsi="標楷體"/>
          <w:color w:val="000000" w:themeColor="text1"/>
          <w:sz w:val="22"/>
        </w:rPr>
        <w:t>6</w:t>
      </w:r>
      <w:r w:rsidRPr="00282963">
        <w:rPr>
          <w:rFonts w:ascii="標楷體" w:eastAsia="標楷體" w:hAnsi="標楷體" w:hint="eastAsia"/>
          <w:color w:val="000000" w:themeColor="text1"/>
          <w:sz w:val="22"/>
        </w:rPr>
        <w:t>年度應納稅額，應依照下列10</w:t>
      </w:r>
      <w:r w:rsidR="00282963">
        <w:rPr>
          <w:rFonts w:ascii="標楷體" w:eastAsia="標楷體" w:hAnsi="標楷體"/>
          <w:color w:val="000000" w:themeColor="text1"/>
          <w:sz w:val="22"/>
        </w:rPr>
        <w:t>6</w:t>
      </w:r>
      <w:r w:rsidRPr="00282963">
        <w:rPr>
          <w:rFonts w:ascii="標楷體" w:eastAsia="標楷體" w:hAnsi="標楷體" w:hint="eastAsia"/>
          <w:color w:val="000000" w:themeColor="text1"/>
          <w:sz w:val="22"/>
        </w:rPr>
        <w:t>年度營利事業所得稅稅率計算之：</w:t>
      </w:r>
    </w:p>
    <w:tbl>
      <w:tblPr>
        <w:tblW w:w="13868" w:type="dxa"/>
        <w:tblInd w:w="62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CellMar>
          <w:left w:w="28" w:type="dxa"/>
          <w:right w:w="28" w:type="dxa"/>
        </w:tblCellMar>
        <w:tblLook w:val="0000" w:firstRow="0" w:lastRow="0" w:firstColumn="0" w:lastColumn="0" w:noHBand="0" w:noVBand="0"/>
      </w:tblPr>
      <w:tblGrid>
        <w:gridCol w:w="626"/>
        <w:gridCol w:w="2504"/>
        <w:gridCol w:w="751"/>
        <w:gridCol w:w="9987"/>
      </w:tblGrid>
      <w:tr w:rsidR="00282963" w:rsidRPr="00282963" w:rsidTr="006142A4">
        <w:trPr>
          <w:trHeight w:val="149"/>
        </w:trPr>
        <w:tc>
          <w:tcPr>
            <w:tcW w:w="626" w:type="dxa"/>
            <w:tcBorders>
              <w:top w:val="single" w:sz="12" w:space="0" w:color="auto"/>
              <w:bottom w:val="single" w:sz="6" w:space="0" w:color="auto"/>
              <w:right w:val="single" w:sz="6" w:space="0" w:color="auto"/>
            </w:tcBorders>
            <w:vAlign w:val="center"/>
          </w:tcPr>
          <w:p w:rsidR="008C321E" w:rsidRPr="00282963" w:rsidRDefault="008C321E">
            <w:pPr>
              <w:keepLines/>
              <w:tabs>
                <w:tab w:val="left" w:pos="1380"/>
              </w:tabs>
              <w:spacing w:line="240" w:lineRule="exact"/>
              <w:jc w:val="center"/>
              <w:rPr>
                <w:rFonts w:ascii="標楷體" w:eastAsia="標楷體" w:hAnsi="標楷體"/>
                <w:color w:val="000000" w:themeColor="text1"/>
                <w:sz w:val="22"/>
              </w:rPr>
            </w:pPr>
            <w:r w:rsidRPr="00282963">
              <w:rPr>
                <w:rFonts w:ascii="標楷體" w:eastAsia="標楷體" w:hAnsi="標楷體" w:hint="eastAsia"/>
                <w:color w:val="000000" w:themeColor="text1"/>
                <w:sz w:val="22"/>
              </w:rPr>
              <w:t>級距</w:t>
            </w:r>
          </w:p>
        </w:tc>
        <w:tc>
          <w:tcPr>
            <w:tcW w:w="2504" w:type="dxa"/>
            <w:tcBorders>
              <w:top w:val="single" w:sz="12" w:space="0" w:color="auto"/>
              <w:left w:val="single" w:sz="6" w:space="0" w:color="auto"/>
              <w:bottom w:val="single" w:sz="6" w:space="0" w:color="auto"/>
              <w:right w:val="single" w:sz="6" w:space="0" w:color="auto"/>
            </w:tcBorders>
            <w:vAlign w:val="center"/>
          </w:tcPr>
          <w:p w:rsidR="008C321E" w:rsidRPr="00282963" w:rsidRDefault="008C321E">
            <w:pPr>
              <w:keepLines/>
              <w:tabs>
                <w:tab w:val="left" w:pos="1380"/>
              </w:tabs>
              <w:spacing w:line="240" w:lineRule="exact"/>
              <w:jc w:val="center"/>
              <w:rPr>
                <w:rFonts w:ascii="標楷體" w:eastAsia="標楷體" w:hAnsi="標楷體"/>
                <w:color w:val="000000" w:themeColor="text1"/>
                <w:sz w:val="22"/>
              </w:rPr>
            </w:pPr>
            <w:r w:rsidRPr="00282963">
              <w:rPr>
                <w:rFonts w:ascii="標楷體" w:eastAsia="標楷體" w:hAnsi="標楷體" w:hint="eastAsia"/>
                <w:color w:val="000000" w:themeColor="text1"/>
                <w:sz w:val="22"/>
              </w:rPr>
              <w:t>課稅所得額級距</w:t>
            </w:r>
          </w:p>
        </w:tc>
        <w:tc>
          <w:tcPr>
            <w:tcW w:w="751" w:type="dxa"/>
            <w:tcBorders>
              <w:top w:val="single" w:sz="12" w:space="0" w:color="auto"/>
              <w:left w:val="single" w:sz="6" w:space="0" w:color="auto"/>
              <w:bottom w:val="single" w:sz="6" w:space="0" w:color="auto"/>
              <w:right w:val="single" w:sz="6" w:space="0" w:color="auto"/>
            </w:tcBorders>
            <w:vAlign w:val="center"/>
          </w:tcPr>
          <w:p w:rsidR="008C321E" w:rsidRPr="00282963" w:rsidRDefault="008C321E">
            <w:pPr>
              <w:keepLines/>
              <w:tabs>
                <w:tab w:val="left" w:pos="1380"/>
              </w:tabs>
              <w:spacing w:line="240" w:lineRule="exact"/>
              <w:jc w:val="center"/>
              <w:rPr>
                <w:rFonts w:ascii="標楷體" w:eastAsia="標楷體" w:hAnsi="標楷體"/>
                <w:color w:val="000000" w:themeColor="text1"/>
                <w:sz w:val="22"/>
              </w:rPr>
            </w:pPr>
            <w:r w:rsidRPr="00282963">
              <w:rPr>
                <w:rFonts w:ascii="標楷體" w:eastAsia="標楷體" w:hAnsi="標楷體" w:hint="eastAsia"/>
                <w:color w:val="000000" w:themeColor="text1"/>
                <w:sz w:val="22"/>
              </w:rPr>
              <w:t>稅率</w:t>
            </w:r>
          </w:p>
        </w:tc>
        <w:tc>
          <w:tcPr>
            <w:tcW w:w="9987" w:type="dxa"/>
            <w:tcBorders>
              <w:top w:val="single" w:sz="12" w:space="0" w:color="auto"/>
              <w:left w:val="single" w:sz="6" w:space="0" w:color="auto"/>
              <w:bottom w:val="single" w:sz="6" w:space="0" w:color="auto"/>
            </w:tcBorders>
            <w:vAlign w:val="center"/>
          </w:tcPr>
          <w:p w:rsidR="008C321E" w:rsidRPr="00282963" w:rsidRDefault="008C321E">
            <w:pPr>
              <w:keepLines/>
              <w:tabs>
                <w:tab w:val="left" w:pos="1380"/>
              </w:tabs>
              <w:spacing w:line="240" w:lineRule="exact"/>
              <w:jc w:val="center"/>
              <w:rPr>
                <w:rFonts w:ascii="標楷體" w:eastAsia="標楷體" w:hAnsi="標楷體"/>
                <w:color w:val="000000" w:themeColor="text1"/>
                <w:sz w:val="22"/>
              </w:rPr>
            </w:pPr>
            <w:r w:rsidRPr="00282963">
              <w:rPr>
                <w:rFonts w:ascii="標楷體" w:eastAsia="標楷體" w:hAnsi="標楷體" w:hint="eastAsia"/>
                <w:color w:val="000000" w:themeColor="text1"/>
                <w:sz w:val="22"/>
              </w:rPr>
              <w:t>速　　　　算　　　　公　　　　式</w:t>
            </w:r>
          </w:p>
        </w:tc>
      </w:tr>
      <w:tr w:rsidR="00282963" w:rsidRPr="00282963" w:rsidTr="006142A4">
        <w:trPr>
          <w:trHeight w:val="337"/>
        </w:trPr>
        <w:tc>
          <w:tcPr>
            <w:tcW w:w="626" w:type="dxa"/>
            <w:tcBorders>
              <w:top w:val="single" w:sz="6" w:space="0" w:color="auto"/>
              <w:right w:val="single" w:sz="6" w:space="0" w:color="auto"/>
            </w:tcBorders>
            <w:vAlign w:val="center"/>
          </w:tcPr>
          <w:p w:rsidR="008C321E" w:rsidRPr="00282963" w:rsidRDefault="008C321E">
            <w:pPr>
              <w:keepLines/>
              <w:tabs>
                <w:tab w:val="left" w:pos="1380"/>
              </w:tabs>
              <w:spacing w:line="240" w:lineRule="exact"/>
              <w:jc w:val="center"/>
              <w:rPr>
                <w:rFonts w:ascii="標楷體" w:eastAsia="標楷體" w:hAnsi="標楷體"/>
                <w:color w:val="000000" w:themeColor="text1"/>
                <w:sz w:val="22"/>
              </w:rPr>
            </w:pPr>
            <w:r w:rsidRPr="00282963">
              <w:rPr>
                <w:rFonts w:ascii="標楷體" w:eastAsia="標楷體" w:hAnsi="標楷體" w:hint="eastAsia"/>
                <w:color w:val="000000" w:themeColor="text1"/>
                <w:sz w:val="22"/>
              </w:rPr>
              <w:t>1</w:t>
            </w:r>
          </w:p>
        </w:tc>
        <w:tc>
          <w:tcPr>
            <w:tcW w:w="2504" w:type="dxa"/>
            <w:tcBorders>
              <w:top w:val="single" w:sz="6" w:space="0" w:color="auto"/>
              <w:left w:val="single" w:sz="6" w:space="0" w:color="auto"/>
              <w:right w:val="single" w:sz="6" w:space="0" w:color="auto"/>
            </w:tcBorders>
            <w:vAlign w:val="center"/>
          </w:tcPr>
          <w:p w:rsidR="008C321E" w:rsidRPr="00282963" w:rsidRDefault="008C321E">
            <w:pPr>
              <w:keepLines/>
              <w:tabs>
                <w:tab w:val="left" w:pos="1380"/>
              </w:tabs>
              <w:spacing w:line="240" w:lineRule="exact"/>
              <w:jc w:val="center"/>
              <w:rPr>
                <w:rFonts w:ascii="標楷體" w:eastAsia="標楷體" w:hAnsi="標楷體"/>
                <w:color w:val="000000" w:themeColor="text1"/>
                <w:sz w:val="22"/>
              </w:rPr>
            </w:pPr>
            <w:r w:rsidRPr="00282963">
              <w:rPr>
                <w:rFonts w:ascii="標楷體" w:eastAsia="標楷體" w:hAnsi="標楷體" w:hint="eastAsia"/>
                <w:color w:val="000000" w:themeColor="text1"/>
                <w:sz w:val="22"/>
              </w:rPr>
              <w:t xml:space="preserve"> 12萬元以下</w:t>
            </w:r>
          </w:p>
        </w:tc>
        <w:tc>
          <w:tcPr>
            <w:tcW w:w="751" w:type="dxa"/>
            <w:tcBorders>
              <w:top w:val="single" w:sz="6" w:space="0" w:color="auto"/>
              <w:left w:val="single" w:sz="6" w:space="0" w:color="auto"/>
              <w:right w:val="single" w:sz="6" w:space="0" w:color="auto"/>
            </w:tcBorders>
            <w:vAlign w:val="center"/>
          </w:tcPr>
          <w:p w:rsidR="008C321E" w:rsidRPr="00282963" w:rsidRDefault="008C321E">
            <w:pPr>
              <w:keepLines/>
              <w:tabs>
                <w:tab w:val="left" w:pos="1380"/>
              </w:tabs>
              <w:spacing w:line="240" w:lineRule="exact"/>
              <w:jc w:val="center"/>
              <w:rPr>
                <w:rFonts w:ascii="標楷體" w:eastAsia="標楷體" w:hAnsi="標楷體"/>
                <w:color w:val="000000" w:themeColor="text1"/>
                <w:sz w:val="22"/>
              </w:rPr>
            </w:pPr>
            <w:r w:rsidRPr="00282963">
              <w:rPr>
                <w:rFonts w:ascii="標楷體" w:eastAsia="標楷體" w:hAnsi="標楷體" w:hint="eastAsia"/>
                <w:color w:val="000000" w:themeColor="text1"/>
                <w:sz w:val="22"/>
              </w:rPr>
              <w:t>免徵</w:t>
            </w:r>
          </w:p>
        </w:tc>
        <w:tc>
          <w:tcPr>
            <w:tcW w:w="9987" w:type="dxa"/>
            <w:tcBorders>
              <w:top w:val="single" w:sz="6" w:space="0" w:color="auto"/>
              <w:left w:val="single" w:sz="6" w:space="0" w:color="auto"/>
            </w:tcBorders>
            <w:vAlign w:val="center"/>
          </w:tcPr>
          <w:p w:rsidR="008C321E" w:rsidRPr="00282963" w:rsidRDefault="008C321E">
            <w:pPr>
              <w:keepLines/>
              <w:tabs>
                <w:tab w:val="left" w:pos="1380"/>
              </w:tabs>
              <w:spacing w:line="240" w:lineRule="exact"/>
              <w:jc w:val="center"/>
              <w:rPr>
                <w:rFonts w:ascii="標楷體" w:eastAsia="標楷體" w:hAnsi="標楷體"/>
                <w:color w:val="000000" w:themeColor="text1"/>
                <w:sz w:val="22"/>
              </w:rPr>
            </w:pPr>
            <w:r w:rsidRPr="00282963">
              <w:rPr>
                <w:rFonts w:ascii="標楷體" w:eastAsia="標楷體" w:hAnsi="標楷體" w:hint="eastAsia"/>
                <w:color w:val="000000" w:themeColor="text1"/>
                <w:sz w:val="22"/>
              </w:rPr>
              <w:t>-</w:t>
            </w:r>
          </w:p>
        </w:tc>
      </w:tr>
      <w:tr w:rsidR="00282963" w:rsidRPr="00282963" w:rsidTr="006142A4">
        <w:trPr>
          <w:trHeight w:val="415"/>
        </w:trPr>
        <w:tc>
          <w:tcPr>
            <w:tcW w:w="626" w:type="dxa"/>
            <w:tcBorders>
              <w:top w:val="single" w:sz="6" w:space="0" w:color="auto"/>
              <w:right w:val="single" w:sz="6" w:space="0" w:color="auto"/>
            </w:tcBorders>
            <w:vAlign w:val="center"/>
          </w:tcPr>
          <w:p w:rsidR="008C321E" w:rsidRPr="00282963" w:rsidRDefault="008C321E">
            <w:pPr>
              <w:keepLines/>
              <w:tabs>
                <w:tab w:val="left" w:pos="1380"/>
              </w:tabs>
              <w:spacing w:line="240" w:lineRule="exact"/>
              <w:jc w:val="center"/>
              <w:rPr>
                <w:rFonts w:ascii="標楷體" w:eastAsia="標楷體" w:hAnsi="標楷體"/>
                <w:color w:val="000000" w:themeColor="text1"/>
                <w:sz w:val="22"/>
              </w:rPr>
            </w:pPr>
            <w:r w:rsidRPr="00282963">
              <w:rPr>
                <w:rFonts w:ascii="標楷體" w:eastAsia="標楷體" w:hAnsi="標楷體" w:hint="eastAsia"/>
                <w:color w:val="000000" w:themeColor="text1"/>
                <w:sz w:val="22"/>
              </w:rPr>
              <w:t>2</w:t>
            </w:r>
          </w:p>
        </w:tc>
        <w:tc>
          <w:tcPr>
            <w:tcW w:w="2504" w:type="dxa"/>
            <w:tcBorders>
              <w:top w:val="single" w:sz="6" w:space="0" w:color="auto"/>
              <w:left w:val="single" w:sz="6" w:space="0" w:color="auto"/>
              <w:right w:val="single" w:sz="6" w:space="0" w:color="auto"/>
            </w:tcBorders>
            <w:vAlign w:val="center"/>
          </w:tcPr>
          <w:p w:rsidR="008C321E" w:rsidRPr="00282963" w:rsidRDefault="008C321E">
            <w:pPr>
              <w:keepLines/>
              <w:tabs>
                <w:tab w:val="left" w:pos="1380"/>
              </w:tabs>
              <w:spacing w:line="240" w:lineRule="exact"/>
              <w:jc w:val="center"/>
              <w:rPr>
                <w:rFonts w:ascii="標楷體" w:eastAsia="標楷體" w:hAnsi="標楷體"/>
                <w:color w:val="000000" w:themeColor="text1"/>
                <w:sz w:val="22"/>
              </w:rPr>
            </w:pPr>
            <w:r w:rsidRPr="00282963">
              <w:rPr>
                <w:rFonts w:ascii="標楷體" w:eastAsia="標楷體" w:hAnsi="標楷體" w:hint="eastAsia"/>
                <w:color w:val="000000" w:themeColor="text1"/>
                <w:sz w:val="22"/>
              </w:rPr>
              <w:t xml:space="preserve"> 超過12萬元</w:t>
            </w:r>
          </w:p>
        </w:tc>
        <w:tc>
          <w:tcPr>
            <w:tcW w:w="751" w:type="dxa"/>
            <w:tcBorders>
              <w:top w:val="single" w:sz="6" w:space="0" w:color="auto"/>
              <w:left w:val="single" w:sz="6" w:space="0" w:color="auto"/>
              <w:right w:val="single" w:sz="6" w:space="0" w:color="auto"/>
            </w:tcBorders>
            <w:vAlign w:val="center"/>
          </w:tcPr>
          <w:p w:rsidR="008C321E" w:rsidRPr="00282963" w:rsidRDefault="008C321E">
            <w:pPr>
              <w:keepLines/>
              <w:tabs>
                <w:tab w:val="left" w:pos="1380"/>
              </w:tabs>
              <w:spacing w:line="240" w:lineRule="exact"/>
              <w:jc w:val="center"/>
              <w:rPr>
                <w:rFonts w:ascii="標楷體" w:eastAsia="標楷體" w:hAnsi="標楷體"/>
                <w:color w:val="000000" w:themeColor="text1"/>
                <w:sz w:val="22"/>
              </w:rPr>
            </w:pPr>
            <w:r w:rsidRPr="00282963">
              <w:rPr>
                <w:rFonts w:ascii="標楷體" w:eastAsia="標楷體" w:hAnsi="標楷體" w:hint="eastAsia"/>
                <w:color w:val="000000" w:themeColor="text1"/>
                <w:sz w:val="22"/>
              </w:rPr>
              <w:t>17%</w:t>
            </w:r>
          </w:p>
        </w:tc>
        <w:tc>
          <w:tcPr>
            <w:tcW w:w="9987" w:type="dxa"/>
            <w:tcBorders>
              <w:top w:val="single" w:sz="6" w:space="0" w:color="auto"/>
              <w:left w:val="single" w:sz="6" w:space="0" w:color="auto"/>
            </w:tcBorders>
            <w:tcMar>
              <w:left w:w="284" w:type="dxa"/>
              <w:right w:w="284" w:type="dxa"/>
            </w:tcMar>
            <w:vAlign w:val="center"/>
          </w:tcPr>
          <w:p w:rsidR="008C321E" w:rsidRPr="00282963" w:rsidRDefault="008C321E">
            <w:pPr>
              <w:keepLines/>
              <w:tabs>
                <w:tab w:val="left" w:pos="1380"/>
              </w:tabs>
              <w:spacing w:line="240" w:lineRule="exact"/>
              <w:ind w:left="220" w:hangingChars="100" w:hanging="220"/>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1.P在181,818元以下者  T=(P－120,000元)×1/2</w:t>
            </w:r>
          </w:p>
          <w:p w:rsidR="008C321E" w:rsidRPr="00282963" w:rsidRDefault="008C321E">
            <w:pPr>
              <w:keepLines/>
              <w:tabs>
                <w:tab w:val="left" w:pos="1380"/>
              </w:tabs>
              <w:spacing w:line="240" w:lineRule="exact"/>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2.P超過181,818元者 T=P×17﹪</w:t>
            </w:r>
          </w:p>
        </w:tc>
      </w:tr>
      <w:tr w:rsidR="00282963" w:rsidRPr="00282963" w:rsidTr="00C30BE8">
        <w:trPr>
          <w:trHeight w:val="669"/>
        </w:trPr>
        <w:tc>
          <w:tcPr>
            <w:tcW w:w="13868" w:type="dxa"/>
            <w:gridSpan w:val="4"/>
          </w:tcPr>
          <w:p w:rsidR="008C321E" w:rsidRPr="00282963" w:rsidRDefault="008C321E" w:rsidP="00FD3A87">
            <w:pPr>
              <w:keepLines/>
              <w:spacing w:line="240" w:lineRule="exact"/>
              <w:ind w:left="440" w:hangingChars="200" w:hanging="440"/>
              <w:rPr>
                <w:rFonts w:ascii="標楷體" w:eastAsia="標楷體" w:hAnsi="標楷體"/>
                <w:color w:val="000000" w:themeColor="text1"/>
                <w:sz w:val="22"/>
              </w:rPr>
            </w:pPr>
            <w:r w:rsidRPr="00282963">
              <w:rPr>
                <w:rFonts w:ascii="標楷體" w:eastAsia="標楷體" w:hAnsi="標楷體" w:hint="eastAsia"/>
                <w:color w:val="000000" w:themeColor="text1"/>
                <w:sz w:val="22"/>
              </w:rPr>
              <w:t>附註：1.T=稅額　　　　　　　P=課稅所得額</w:t>
            </w:r>
          </w:p>
          <w:p w:rsidR="008C321E" w:rsidRPr="00282963" w:rsidRDefault="008C321E" w:rsidP="00FD3A87">
            <w:pPr>
              <w:keepLines/>
              <w:tabs>
                <w:tab w:val="left" w:pos="1380"/>
                <w:tab w:val="left" w:pos="4050"/>
              </w:tabs>
              <w:spacing w:line="240" w:lineRule="exact"/>
              <w:ind w:leftChars="270" w:left="848" w:hangingChars="91" w:hanging="200"/>
              <w:rPr>
                <w:rFonts w:ascii="標楷體" w:eastAsia="標楷體" w:hAnsi="標楷體"/>
                <w:color w:val="000000" w:themeColor="text1"/>
                <w:sz w:val="22"/>
              </w:rPr>
            </w:pPr>
            <w:r w:rsidRPr="00282963">
              <w:rPr>
                <w:rFonts w:ascii="標楷體" w:eastAsia="標楷體" w:hAnsi="標楷體" w:hint="eastAsia"/>
                <w:color w:val="000000" w:themeColor="text1"/>
                <w:sz w:val="22"/>
              </w:rPr>
              <w:t>2.課稅所得額超過12萬元者，就其全部課稅所得額課徵17%，但其應納稅額不得超過課稅所得額超過12萬元部分之半數。</w:t>
            </w:r>
          </w:p>
          <w:p w:rsidR="00FD3A87" w:rsidRPr="00282963" w:rsidRDefault="008C321E" w:rsidP="004228D2">
            <w:pPr>
              <w:keepLines/>
              <w:tabs>
                <w:tab w:val="left" w:pos="1380"/>
                <w:tab w:val="left" w:pos="4050"/>
              </w:tabs>
              <w:spacing w:line="240" w:lineRule="exact"/>
              <w:ind w:leftChars="270" w:left="848" w:hangingChars="91" w:hanging="200"/>
              <w:rPr>
                <w:rFonts w:ascii="標楷體" w:eastAsia="標楷體" w:hAnsi="標楷體"/>
                <w:color w:val="000000" w:themeColor="text1"/>
                <w:sz w:val="22"/>
                <w:szCs w:val="22"/>
              </w:rPr>
            </w:pPr>
            <w:r w:rsidRPr="00282963">
              <w:rPr>
                <w:rFonts w:ascii="標楷體" w:eastAsia="標楷體" w:hAnsi="標楷體" w:hint="eastAsia"/>
                <w:color w:val="000000" w:themeColor="text1"/>
                <w:sz w:val="22"/>
                <w:szCs w:val="22"/>
              </w:rPr>
              <w:t>3.獨資、合夥組織營利事業辦理結(決)算申報時，應按上述稅率計算應納稅額，以其半數填入第60欄。</w:t>
            </w:r>
          </w:p>
        </w:tc>
      </w:tr>
    </w:tbl>
    <w:p w:rsidR="008C321E" w:rsidRPr="00282963" w:rsidRDefault="008C321E" w:rsidP="00541FCF">
      <w:pPr>
        <w:spacing w:beforeLines="30" w:before="108" w:line="220" w:lineRule="exact"/>
        <w:ind w:left="418" w:hangingChars="190" w:hanging="418"/>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七、</w:t>
      </w:r>
      <w:bookmarkStart w:id="1" w:name="OLE_LINK1"/>
      <w:r w:rsidRPr="00282963">
        <w:rPr>
          <w:rFonts w:ascii="標楷體" w:eastAsia="標楷體" w:hAnsi="標楷體" w:cs="Arial" w:hint="eastAsia"/>
          <w:color w:val="000000" w:themeColor="text1"/>
          <w:sz w:val="22"/>
          <w:szCs w:val="32"/>
        </w:rPr>
        <w:t>營利事業有大陸地區來源所得者，應併同臺灣地區來源所得課徵所得稅。但其在大陸地區已繳納之稅額，得自應納稅額中扣抵。有關該扣抵稅額應依臺灣地區與大陸地區人民關係條例第24條及同條例施行細則第21條規定計算。</w:t>
      </w:r>
      <w:bookmarkEnd w:id="1"/>
    </w:p>
    <w:p w:rsidR="008C321E" w:rsidRPr="00282963" w:rsidRDefault="008C321E" w:rsidP="00541FCF">
      <w:pPr>
        <w:spacing w:before="50" w:line="220" w:lineRule="exact"/>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八、凡合於相關法律減免規定者，應另填妥減免稅額通報單及各相關表格，訂在本申報書後面一併申報，以維權益。</w:t>
      </w:r>
    </w:p>
    <w:p w:rsidR="008C321E" w:rsidRPr="00282963" w:rsidRDefault="008C321E" w:rsidP="00541FCF">
      <w:pPr>
        <w:spacing w:before="50" w:line="220" w:lineRule="exact"/>
        <w:ind w:leftChars="91" w:left="867" w:hangingChars="295" w:hanging="649"/>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（一）合於已廢止之88年12月31日修正公布前促進產業升級條例第16條或第17條規定，利用未分配盈餘增資擴展之公司，應依規定將本次增資擴展計畫之核備文號，股東或員工配</w:t>
      </w:r>
      <w:r w:rsidR="00E82680" w:rsidRPr="00282963">
        <w:rPr>
          <w:rFonts w:ascii="標楷體" w:eastAsia="標楷體" w:hAnsi="標楷體" w:hint="eastAsia"/>
          <w:color w:val="000000" w:themeColor="text1"/>
          <w:sz w:val="22"/>
        </w:rPr>
        <w:t>股資料一併填報於投資人分配盈餘表上，以利管轄稅捐稽徵機關查核。</w:t>
      </w:r>
    </w:p>
    <w:p w:rsidR="008C321E" w:rsidRPr="00282963" w:rsidRDefault="008C321E" w:rsidP="00541FCF">
      <w:pPr>
        <w:spacing w:before="50" w:line="220" w:lineRule="exact"/>
        <w:ind w:leftChars="92" w:left="863" w:hangingChars="292" w:hanging="642"/>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（二）合於廢止前促進產業升級條例第6條第1項、第15條第3項、企業併購法第</w:t>
      </w:r>
      <w:r w:rsidR="002C2DA3" w:rsidRPr="00282963">
        <w:rPr>
          <w:rFonts w:ascii="標楷體" w:eastAsia="標楷體" w:hAnsi="標楷體" w:hint="eastAsia"/>
          <w:color w:val="000000" w:themeColor="text1"/>
          <w:sz w:val="22"/>
        </w:rPr>
        <w:t>42</w:t>
      </w:r>
      <w:r w:rsidRPr="00282963">
        <w:rPr>
          <w:rFonts w:ascii="標楷體" w:eastAsia="標楷體" w:hAnsi="標楷體" w:hint="eastAsia"/>
          <w:color w:val="000000" w:themeColor="text1"/>
          <w:sz w:val="22"/>
        </w:rPr>
        <w:t>條</w:t>
      </w:r>
      <w:r w:rsidR="000F4C57" w:rsidRPr="00282963">
        <w:rPr>
          <w:rFonts w:ascii="標楷體" w:eastAsia="標楷體" w:hAnsi="標楷體" w:hint="eastAsia"/>
          <w:color w:val="000000" w:themeColor="text1"/>
          <w:sz w:val="22"/>
        </w:rPr>
        <w:t>(104年7月8日修正公布前第37條)</w:t>
      </w:r>
      <w:r w:rsidRPr="00282963">
        <w:rPr>
          <w:rFonts w:ascii="標楷體" w:eastAsia="標楷體" w:hAnsi="標楷體" w:hint="eastAsia"/>
          <w:color w:val="000000" w:themeColor="text1"/>
          <w:sz w:val="22"/>
        </w:rPr>
        <w:t>、獎勵民間參與交通建設條例第29條第1項第1款、第2款、第4款、促進民間參與公共建設法第37條第1項第1款、第2款及資源回收再利用法第23條規定，抵減當年度營利事業所得稅者，應檢附相關主管機關發給之證明文件及購置機器設備清單影本。</w:t>
      </w:r>
    </w:p>
    <w:p w:rsidR="008C321E" w:rsidRPr="00282963" w:rsidRDefault="008C321E" w:rsidP="00541FCF">
      <w:pPr>
        <w:spacing w:before="50" w:line="220" w:lineRule="exact"/>
        <w:ind w:leftChars="90" w:left="865" w:hangingChars="295" w:hanging="649"/>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（三）合於廢止前促進產業升級條例第8條、獎勵民間參與交通建設條例第33條及促進民間參與公共建設法第40條、</w:t>
      </w:r>
      <w:r w:rsidR="002C2DA3" w:rsidRPr="00282963">
        <w:rPr>
          <w:rFonts w:ascii="標楷體" w:eastAsia="標楷體" w:hAnsi="標楷體" w:hint="eastAsia"/>
          <w:color w:val="000000" w:themeColor="text1"/>
          <w:sz w:val="22"/>
        </w:rPr>
        <w:t>104年6月10日修正公布前</w:t>
      </w:r>
      <w:r w:rsidRPr="00282963">
        <w:rPr>
          <w:rFonts w:ascii="標楷體" w:eastAsia="標楷體" w:hAnsi="標楷體" w:hint="eastAsia"/>
          <w:color w:val="000000" w:themeColor="text1"/>
          <w:sz w:val="22"/>
        </w:rPr>
        <w:t>電影法第39條之1及</w:t>
      </w:r>
      <w:r w:rsidRPr="00282963">
        <w:rPr>
          <w:rFonts w:ascii="標楷體" w:eastAsia="標楷體" w:hAnsi="標楷體"/>
          <w:color w:val="000000" w:themeColor="text1"/>
          <w:sz w:val="22"/>
        </w:rPr>
        <w:t>生技新藥產業發展條例</w:t>
      </w:r>
      <w:r w:rsidRPr="00282963">
        <w:rPr>
          <w:rFonts w:ascii="標楷體" w:eastAsia="標楷體" w:hAnsi="標楷體" w:hint="eastAsia"/>
          <w:color w:val="000000" w:themeColor="text1"/>
          <w:sz w:val="22"/>
        </w:rPr>
        <w:t>第6條規定，抵減當年度營利事業所得稅者，應檢附投資抵減證明書。</w:t>
      </w:r>
    </w:p>
    <w:p w:rsidR="008C321E" w:rsidRPr="00282963" w:rsidRDefault="008C321E" w:rsidP="00541FCF">
      <w:pPr>
        <w:spacing w:before="50" w:line="220" w:lineRule="exact"/>
        <w:ind w:leftChars="90" w:left="865" w:hangingChars="295" w:hanging="649"/>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四）合於新市鎮開發條例第14條第1項第2款、所得稅法第51條第2項及中小企業發展條例第35條第2項規定，固定資產適用加速折舊按2年或縮短二分之一耐用年限者，應與其他固定資產分別記載，財產目錄亦應分別填列，並檢附目的事業主管機關發給之證明文件影本。</w:t>
      </w:r>
    </w:p>
    <w:p w:rsidR="008C321E" w:rsidRPr="00282963" w:rsidRDefault="008C321E" w:rsidP="00541FCF">
      <w:pPr>
        <w:spacing w:before="50" w:line="220" w:lineRule="exact"/>
        <w:ind w:left="880" w:hangingChars="400" w:hanging="880"/>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 xml:space="preserve">  （五）合於中小企業發展條例第35條第1項、產業創新條例第10條、 廢止前促進產業升級條例第15條第3項、獎勵民間參與交通建設條例第29條第1項第3款、促進民間參與公共建設法第37條第1項第3款、發展觀光條例第50條、</w:t>
      </w:r>
      <w:r w:rsidRPr="00282963">
        <w:rPr>
          <w:rFonts w:ascii="標楷體" w:eastAsia="標楷體" w:hAnsi="標楷體"/>
          <w:color w:val="000000" w:themeColor="text1"/>
          <w:sz w:val="22"/>
        </w:rPr>
        <w:t>生技新藥產業發展條例</w:t>
      </w:r>
      <w:r w:rsidRPr="00282963">
        <w:rPr>
          <w:rFonts w:ascii="標楷體" w:eastAsia="標楷體" w:hAnsi="標楷體" w:hint="eastAsia"/>
          <w:color w:val="000000" w:themeColor="text1"/>
          <w:sz w:val="22"/>
        </w:rPr>
        <w:t>第5條及資源回收再利用法第23條規定，應填報投資抵減明細表，及檢具相關資料備查。</w:t>
      </w:r>
    </w:p>
    <w:p w:rsidR="008C321E" w:rsidRPr="00282963" w:rsidRDefault="008C321E" w:rsidP="00541FCF">
      <w:pPr>
        <w:spacing w:before="50" w:line="220" w:lineRule="exact"/>
        <w:ind w:left="869" w:hangingChars="395" w:hanging="869"/>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 xml:space="preserve">  （六）合於廢止前促進產業升級條例第7條、新市鎮開發條例第14條第1項第1款及第24條第1項第1款、都市更新條例第49條規定，應檢具主管機關核發之證明及相關資料備查。</w:t>
      </w:r>
    </w:p>
    <w:p w:rsidR="008C321E" w:rsidRPr="00282963" w:rsidRDefault="008C321E" w:rsidP="00541FCF">
      <w:pPr>
        <w:spacing w:line="220" w:lineRule="exact"/>
        <w:ind w:leftChars="6" w:left="894" w:hangingChars="400" w:hanging="880"/>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 xml:space="preserve">  （七）合於已廢止之促進產業升級條例第9條、第9條之2、第10條第2項、第15條第3項、獎勵民間參與交通建設條例第28條、科學工業園區設置管理條例第18條及促進民間參與公共建設法第36條規定，適用免徵營利事業所得稅者，應檢附財政部核准函及相關資料，以憑辦理減免手續。</w:t>
      </w:r>
    </w:p>
    <w:p w:rsidR="008C321E" w:rsidRPr="00282963" w:rsidRDefault="008C321E" w:rsidP="00541FCF">
      <w:pPr>
        <w:spacing w:line="220" w:lineRule="exact"/>
        <w:ind w:leftChars="100" w:left="900" w:hangingChars="300" w:hanging="660"/>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（八）合於中小企業發展條例第36條之2規定，</w:t>
      </w:r>
      <w:r w:rsidR="000F4C57" w:rsidRPr="00282963">
        <w:rPr>
          <w:rFonts w:ascii="標楷體" w:eastAsia="標楷體" w:hAnsi="標楷體" w:hint="eastAsia"/>
          <w:color w:val="000000" w:themeColor="text1"/>
          <w:sz w:val="22"/>
        </w:rPr>
        <w:t>適用增僱員工或加薪薪資費用加成減除者，</w:t>
      </w:r>
      <w:r w:rsidR="0024777E" w:rsidRPr="00282963">
        <w:rPr>
          <w:rFonts w:ascii="標楷體" w:eastAsia="標楷體" w:hAnsi="標楷體" w:hint="eastAsia"/>
          <w:color w:val="000000" w:themeColor="text1"/>
          <w:sz w:val="22"/>
        </w:rPr>
        <w:t>應填報加成減除明細表，並檢附規定文件。</w:t>
      </w:r>
    </w:p>
    <w:p w:rsidR="000F4C57" w:rsidRDefault="000F4C57" w:rsidP="00541FCF">
      <w:pPr>
        <w:spacing w:line="220" w:lineRule="exact"/>
        <w:ind w:leftChars="91" w:left="867" w:hangingChars="295" w:hanging="649"/>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（九）合於產業創新條例第12條之1</w:t>
      </w:r>
      <w:r w:rsidR="00DC7BB0" w:rsidRPr="00282963">
        <w:rPr>
          <w:rFonts w:ascii="標楷體" w:eastAsia="標楷體" w:hAnsi="標楷體" w:hint="eastAsia"/>
          <w:color w:val="000000" w:themeColor="text1"/>
          <w:sz w:val="22"/>
        </w:rPr>
        <w:t>第1項規</w:t>
      </w:r>
      <w:r w:rsidR="00E82680" w:rsidRPr="00282963">
        <w:rPr>
          <w:rFonts w:ascii="標楷體" w:eastAsia="標楷體" w:hAnsi="標楷體" w:hint="eastAsia"/>
          <w:color w:val="000000" w:themeColor="text1"/>
          <w:sz w:val="22"/>
        </w:rPr>
        <w:t>定，適用研究發展支出加倍減除者，應填報</w:t>
      </w:r>
      <w:r w:rsidR="000D6A10" w:rsidRPr="00282963">
        <w:rPr>
          <w:rFonts w:ascii="標楷體" w:eastAsia="標楷體" w:hAnsi="標楷體" w:hint="eastAsia"/>
          <w:color w:val="000000" w:themeColor="text1"/>
          <w:sz w:val="22"/>
        </w:rPr>
        <w:t>加倍減除</w:t>
      </w:r>
      <w:r w:rsidR="00E82680" w:rsidRPr="00282963">
        <w:rPr>
          <w:rFonts w:ascii="標楷體" w:eastAsia="標楷體" w:hAnsi="標楷體" w:hint="eastAsia"/>
          <w:color w:val="000000" w:themeColor="text1"/>
          <w:sz w:val="22"/>
        </w:rPr>
        <w:t>明細表，並檢附規定文件。</w:t>
      </w:r>
    </w:p>
    <w:p w:rsidR="00BC24CE" w:rsidRPr="00BC24CE" w:rsidRDefault="00BC24CE" w:rsidP="00541FCF">
      <w:pPr>
        <w:spacing w:line="220" w:lineRule="exact"/>
        <w:ind w:leftChars="91" w:left="868" w:hangingChars="295" w:hanging="650"/>
        <w:jc w:val="both"/>
        <w:rPr>
          <w:rFonts w:ascii="標楷體" w:eastAsia="標楷體" w:hAnsi="標楷體"/>
          <w:b/>
          <w:color w:val="FF0000"/>
          <w:sz w:val="22"/>
        </w:rPr>
      </w:pPr>
      <w:r w:rsidRPr="00BC24CE">
        <w:rPr>
          <w:rFonts w:ascii="標楷體" w:eastAsia="標楷體" w:hAnsi="標楷體" w:hint="eastAsia"/>
          <w:b/>
          <w:color w:val="FF0000"/>
          <w:sz w:val="22"/>
          <w:highlight w:val="green"/>
        </w:rPr>
        <w:t>（十）合於產業創新條第23條之1規定，應填具「適用產業創新條例第23條之1規定營利事業之合夥人營利所得計算表」，並檢附相關文件。</w:t>
      </w:r>
    </w:p>
    <w:p w:rsidR="008C321E" w:rsidRPr="00282963" w:rsidRDefault="008C321E" w:rsidP="00541FCF">
      <w:pPr>
        <w:tabs>
          <w:tab w:val="left" w:pos="13584"/>
        </w:tabs>
        <w:spacing w:line="220" w:lineRule="exact"/>
        <w:ind w:left="480" w:hangingChars="218" w:hanging="480"/>
        <w:jc w:val="both"/>
        <w:rPr>
          <w:rFonts w:ascii="標楷體" w:eastAsia="標楷體" w:hAnsi="標楷體"/>
          <w:color w:val="000000" w:themeColor="text1"/>
          <w:sz w:val="22"/>
        </w:rPr>
      </w:pPr>
      <w:r w:rsidRPr="00282963">
        <w:rPr>
          <w:rFonts w:ascii="標楷體" w:eastAsia="標楷體" w:hAnsi="標楷體" w:hint="eastAsia"/>
          <w:color w:val="000000" w:themeColor="text1"/>
          <w:sz w:val="22"/>
        </w:rPr>
        <w:t>九、請依所得基本稅額條例之規定，填報本申報書第2頁「營利事業所得基本稅額申報表」。</w:t>
      </w:r>
      <w:r w:rsidR="002C2DA3" w:rsidRPr="00282963">
        <w:rPr>
          <w:rFonts w:ascii="標楷體" w:eastAsia="標楷體" w:hAnsi="標楷體"/>
          <w:color w:val="000000" w:themeColor="text1"/>
          <w:sz w:val="22"/>
        </w:rPr>
        <w:tab/>
      </w:r>
    </w:p>
    <w:p w:rsidR="006142A4" w:rsidRPr="00F8426F" w:rsidRDefault="008C321E" w:rsidP="00541FCF">
      <w:pPr>
        <w:spacing w:line="220" w:lineRule="exact"/>
        <w:ind w:leftChars="11" w:left="466" w:hangingChars="200" w:hanging="440"/>
        <w:jc w:val="both"/>
        <w:rPr>
          <w:rFonts w:ascii="標楷體" w:eastAsia="標楷體" w:hAnsi="標楷體"/>
          <w:color w:val="0070C0"/>
          <w:sz w:val="22"/>
        </w:rPr>
      </w:pPr>
      <w:r w:rsidRPr="00282963">
        <w:rPr>
          <w:rFonts w:ascii="標楷體" w:eastAsia="標楷體" w:hAnsi="標楷體" w:hint="eastAsia"/>
          <w:color w:val="000000" w:themeColor="text1"/>
          <w:sz w:val="22"/>
        </w:rPr>
        <w:t>十、會計師辦理營利事業所得稅查核簽證申報，應如期提出申報書並繳納稅款，至查核簽證報告書</w:t>
      </w:r>
      <w:r w:rsidRPr="00282963">
        <w:rPr>
          <w:rFonts w:ascii="標楷體" w:eastAsia="標楷體" w:hAnsi="標楷體" w:cs="DFKaiShu-SB-Estd-BF" w:hint="eastAsia"/>
          <w:color w:val="000000" w:themeColor="text1"/>
          <w:kern w:val="0"/>
          <w:sz w:val="22"/>
          <w:szCs w:val="22"/>
        </w:rPr>
        <w:t>除</w:t>
      </w:r>
      <w:r w:rsidRPr="00282963">
        <w:rPr>
          <w:rFonts w:ascii="標楷體" w:eastAsia="標楷體" w:hAnsi="標楷體" w:cs="DFKaiShu-SB-Estd-BF"/>
          <w:color w:val="000000" w:themeColor="text1"/>
          <w:kern w:val="0"/>
          <w:sz w:val="22"/>
          <w:szCs w:val="22"/>
        </w:rPr>
        <w:t>網路申報</w:t>
      </w:r>
      <w:r w:rsidRPr="00282963">
        <w:rPr>
          <w:rFonts w:ascii="標楷體" w:eastAsia="標楷體" w:hAnsi="標楷體" w:cs="DFKaiShu-SB-Estd-BF" w:hint="eastAsia"/>
          <w:color w:val="000000" w:themeColor="text1"/>
          <w:kern w:val="0"/>
          <w:sz w:val="22"/>
          <w:szCs w:val="22"/>
        </w:rPr>
        <w:t>案件免報</w:t>
      </w:r>
      <w:r w:rsidR="00FA46C7" w:rsidRPr="00282963">
        <w:rPr>
          <w:rFonts w:ascii="標楷體" w:eastAsia="標楷體" w:hAnsi="標楷體" w:cs="DFKaiShu-SB-Estd-BF" w:hint="eastAsia"/>
          <w:color w:val="000000" w:themeColor="text1"/>
          <w:kern w:val="0"/>
          <w:sz w:val="22"/>
          <w:szCs w:val="22"/>
        </w:rPr>
        <w:t>請核</w:t>
      </w:r>
      <w:r w:rsidRPr="00282963">
        <w:rPr>
          <w:rFonts w:ascii="標楷體" w:eastAsia="標楷體" w:hAnsi="標楷體" w:cs="DFKaiShu-SB-Estd-BF" w:hint="eastAsia"/>
          <w:color w:val="000000" w:themeColor="text1"/>
          <w:kern w:val="0"/>
          <w:sz w:val="22"/>
          <w:szCs w:val="22"/>
        </w:rPr>
        <w:t>准外，</w:t>
      </w:r>
      <w:r w:rsidRPr="00282963">
        <w:rPr>
          <w:rFonts w:ascii="標楷體" w:eastAsia="標楷體" w:hAnsi="標楷體" w:hint="eastAsia"/>
          <w:color w:val="000000" w:themeColor="text1"/>
          <w:sz w:val="22"/>
        </w:rPr>
        <w:t>如每一年度代理案件在10 件以上者，得於5月31日前報請該管稅捐稽徵機關核准延至6月30日以前提出，但以不超過其代理案件二分之一為限，並應於封面加註「查核簽證報告書於6月30日以前補送」字樣，否則視為普通申報案件處理。</w:t>
      </w:r>
      <w:r w:rsidR="006142A4" w:rsidRPr="00F8426F">
        <w:rPr>
          <w:rFonts w:ascii="標楷體" w:eastAsia="標楷體" w:hAnsi="標楷體" w:hint="eastAsia"/>
          <w:b/>
          <w:color w:val="0070C0"/>
          <w:sz w:val="22"/>
          <w:highlight w:val="green"/>
        </w:rPr>
        <w:t>營利事業依稅捐稽徵法第26條或納稅義務人申請以加計利息分期繳納所得稅作業原則規定申請並經核准延期或分期繳納者，視為如期繳清稅款。惟延期或分期繳納之任何一期應納稅款未如期繳納者，</w:t>
      </w:r>
      <w:r w:rsidR="00510B68">
        <w:rPr>
          <w:rFonts w:ascii="標楷體" w:eastAsia="標楷體" w:hAnsi="標楷體" w:hint="eastAsia"/>
          <w:b/>
          <w:color w:val="0070C0"/>
          <w:sz w:val="22"/>
          <w:highlight w:val="green"/>
        </w:rPr>
        <w:t>仍</w:t>
      </w:r>
      <w:r w:rsidR="0026735D" w:rsidRPr="00F8426F">
        <w:rPr>
          <w:rFonts w:ascii="標楷體" w:eastAsia="標楷體" w:hAnsi="標楷體" w:hint="eastAsia"/>
          <w:b/>
          <w:color w:val="0070C0"/>
          <w:sz w:val="22"/>
          <w:highlight w:val="green"/>
        </w:rPr>
        <w:t>應按</w:t>
      </w:r>
      <w:r w:rsidR="006142A4" w:rsidRPr="00F8426F">
        <w:rPr>
          <w:rFonts w:ascii="標楷體" w:eastAsia="標楷體" w:hAnsi="標楷體" w:hint="eastAsia"/>
          <w:b/>
          <w:color w:val="0070C0"/>
          <w:sz w:val="22"/>
          <w:highlight w:val="green"/>
        </w:rPr>
        <w:t>普通申報案件處理。</w:t>
      </w:r>
    </w:p>
    <w:p w:rsidR="008C321E" w:rsidRPr="00282963" w:rsidRDefault="001332AE" w:rsidP="00541FCF">
      <w:pPr>
        <w:spacing w:line="220" w:lineRule="exact"/>
        <w:rPr>
          <w:rFonts w:ascii="標楷體" w:eastAsia="標楷體" w:hAnsi="標楷體"/>
          <w:color w:val="000000" w:themeColor="text1"/>
          <w:sz w:val="22"/>
        </w:rPr>
      </w:pPr>
      <w:r w:rsidRPr="00510B68">
        <w:rPr>
          <w:rFonts w:ascii="標楷體" w:eastAsia="標楷體" w:hAnsi="標楷體" w:hint="eastAsia"/>
          <w:b/>
          <w:color w:val="0070C0"/>
          <w:sz w:val="22"/>
          <w:highlight w:val="green"/>
        </w:rPr>
        <w:t>十</w:t>
      </w:r>
      <w:r w:rsidR="00510B68" w:rsidRPr="00510B68">
        <w:rPr>
          <w:rFonts w:ascii="標楷體" w:eastAsia="標楷體" w:hAnsi="標楷體" w:hint="eastAsia"/>
          <w:b/>
          <w:color w:val="0070C0"/>
          <w:sz w:val="22"/>
          <w:highlight w:val="green"/>
        </w:rPr>
        <w:t>一</w:t>
      </w:r>
      <w:r w:rsidR="008C321E" w:rsidRPr="00282963">
        <w:rPr>
          <w:rFonts w:ascii="標楷體" w:eastAsia="標楷體" w:hAnsi="標楷體" w:hint="eastAsia"/>
          <w:color w:val="000000" w:themeColor="text1"/>
          <w:sz w:val="22"/>
        </w:rPr>
        <w:t>、營利事業依所得稅法第24條之3規定計算利息收入者，10</w:t>
      </w:r>
      <w:r w:rsidR="00282963">
        <w:rPr>
          <w:rFonts w:ascii="標楷體" w:eastAsia="標楷體" w:hAnsi="標楷體"/>
          <w:color w:val="000000" w:themeColor="text1"/>
          <w:sz w:val="22"/>
        </w:rPr>
        <w:t>6</w:t>
      </w:r>
      <w:r w:rsidR="008C321E" w:rsidRPr="00282963">
        <w:rPr>
          <w:rFonts w:ascii="標楷體" w:eastAsia="標楷體" w:hAnsi="標楷體" w:hint="eastAsia"/>
          <w:color w:val="000000" w:themeColor="text1"/>
          <w:sz w:val="22"/>
        </w:rPr>
        <w:t>年1月1日臺灣銀行之基準利率為</w:t>
      </w:r>
      <w:r w:rsidR="0007349D" w:rsidRPr="003D1461">
        <w:rPr>
          <w:rFonts w:ascii="標楷體" w:eastAsia="標楷體" w:hAnsi="標楷體" w:hint="eastAsia"/>
          <w:b/>
          <w:color w:val="FF0000"/>
          <w:sz w:val="22"/>
          <w:highlight w:val="yellow"/>
        </w:rPr>
        <w:t>2.</w:t>
      </w:r>
      <w:r w:rsidR="00282963" w:rsidRPr="003D1461">
        <w:rPr>
          <w:rFonts w:ascii="標楷體" w:eastAsia="標楷體" w:hAnsi="標楷體"/>
          <w:b/>
          <w:color w:val="FF0000"/>
          <w:sz w:val="22"/>
          <w:highlight w:val="yellow"/>
        </w:rPr>
        <w:t>61</w:t>
      </w:r>
      <w:r w:rsidR="0007349D" w:rsidRPr="003D1461">
        <w:rPr>
          <w:rFonts w:ascii="標楷體" w:eastAsia="標楷體" w:hAnsi="標楷體" w:hint="eastAsia"/>
          <w:b/>
          <w:color w:val="FF0000"/>
          <w:sz w:val="22"/>
          <w:highlight w:val="yellow"/>
        </w:rPr>
        <w:t>6</w:t>
      </w:r>
      <w:r w:rsidR="008C321E" w:rsidRPr="003D1461">
        <w:rPr>
          <w:rFonts w:ascii="標楷體" w:eastAsia="標楷體" w:hAnsi="標楷體" w:hint="eastAsia"/>
          <w:b/>
          <w:color w:val="FF0000"/>
          <w:sz w:val="22"/>
          <w:highlight w:val="yellow"/>
        </w:rPr>
        <w:t>%</w:t>
      </w:r>
      <w:r w:rsidR="008C321E" w:rsidRPr="00282963">
        <w:rPr>
          <w:rFonts w:ascii="標楷體" w:eastAsia="標楷體" w:hAnsi="標楷體" w:hint="eastAsia"/>
          <w:color w:val="000000" w:themeColor="text1"/>
          <w:sz w:val="22"/>
        </w:rPr>
        <w:t>。</w:t>
      </w:r>
    </w:p>
    <w:p w:rsidR="00C30BE8" w:rsidRPr="00282963" w:rsidRDefault="001332AE" w:rsidP="00541FCF">
      <w:pPr>
        <w:spacing w:line="220" w:lineRule="exact"/>
        <w:ind w:left="661" w:hangingChars="300" w:hanging="661"/>
        <w:jc w:val="both"/>
        <w:rPr>
          <w:rFonts w:ascii="標楷體" w:eastAsia="標楷體" w:hAnsi="標楷體"/>
          <w:color w:val="000000" w:themeColor="text1"/>
          <w:sz w:val="22"/>
          <w:szCs w:val="22"/>
        </w:rPr>
      </w:pPr>
      <w:r w:rsidRPr="00510B68">
        <w:rPr>
          <w:rFonts w:ascii="標楷體" w:eastAsia="標楷體" w:hAnsi="標楷體" w:hint="eastAsia"/>
          <w:b/>
          <w:color w:val="0070C0"/>
          <w:sz w:val="22"/>
          <w:szCs w:val="22"/>
          <w:highlight w:val="green"/>
        </w:rPr>
        <w:t>十</w:t>
      </w:r>
      <w:r w:rsidR="00510B68" w:rsidRPr="00510B68">
        <w:rPr>
          <w:rFonts w:ascii="標楷體" w:eastAsia="標楷體" w:hAnsi="標楷體" w:hint="eastAsia"/>
          <w:b/>
          <w:color w:val="0070C0"/>
          <w:sz w:val="22"/>
          <w:szCs w:val="22"/>
          <w:highlight w:val="green"/>
        </w:rPr>
        <w:t>二</w:t>
      </w:r>
      <w:r w:rsidR="00C30BE8" w:rsidRPr="00282963">
        <w:rPr>
          <w:rFonts w:ascii="標楷體" w:eastAsia="標楷體" w:hAnsi="標楷體" w:hint="eastAsia"/>
          <w:color w:val="000000" w:themeColor="text1"/>
          <w:sz w:val="22"/>
          <w:szCs w:val="22"/>
        </w:rPr>
        <w:t>、</w:t>
      </w:r>
      <w:r w:rsidR="001473F2" w:rsidRPr="00282963">
        <w:rPr>
          <w:rFonts w:ascii="標楷體" w:eastAsia="標楷體" w:hAnsi="標楷體" w:hint="eastAsia"/>
          <w:color w:val="000000" w:themeColor="text1"/>
          <w:sz w:val="22"/>
          <w:szCs w:val="22"/>
        </w:rPr>
        <w:t>營利事業</w:t>
      </w:r>
      <w:r w:rsidR="009236B5" w:rsidRPr="00282963">
        <w:rPr>
          <w:rFonts w:ascii="標楷體" w:eastAsia="標楷體" w:hAnsi="標楷體" w:hint="eastAsia"/>
          <w:color w:val="000000" w:themeColor="text1"/>
          <w:sz w:val="22"/>
          <w:szCs w:val="22"/>
        </w:rPr>
        <w:t>交易符合</w:t>
      </w:r>
      <w:r w:rsidR="00C30BE8" w:rsidRPr="00282963">
        <w:rPr>
          <w:rFonts w:ascii="標楷體" w:eastAsia="標楷體" w:hAnsi="標楷體" w:hint="eastAsia"/>
          <w:color w:val="000000" w:themeColor="text1"/>
          <w:sz w:val="22"/>
          <w:szCs w:val="22"/>
        </w:rPr>
        <w:t>房地合一課徵所得稅新制(參照所得稅法第4條之4及第24條之5規定)之房屋、土地或股權者，應填報第</w:t>
      </w:r>
      <w:r w:rsidR="00BA296B" w:rsidRPr="00282963">
        <w:rPr>
          <w:rFonts w:ascii="標楷體" w:eastAsia="標楷體" w:hAnsi="標楷體"/>
          <w:color w:val="000000" w:themeColor="text1"/>
          <w:sz w:val="22"/>
          <w:szCs w:val="22"/>
        </w:rPr>
        <w:t>C1</w:t>
      </w:r>
      <w:r w:rsidR="00C30BE8" w:rsidRPr="00282963">
        <w:rPr>
          <w:rFonts w:ascii="標楷體" w:eastAsia="標楷體" w:hAnsi="標楷體" w:hint="eastAsia"/>
          <w:color w:val="000000" w:themeColor="text1"/>
          <w:sz w:val="22"/>
          <w:szCs w:val="22"/>
        </w:rPr>
        <w:t>頁「交易符合所得稅法第4條之4</w:t>
      </w:r>
      <w:r w:rsidR="00510B68" w:rsidRPr="00510B68">
        <w:rPr>
          <w:rFonts w:ascii="標楷體" w:eastAsia="標楷體" w:hAnsi="標楷體" w:hint="eastAsia"/>
          <w:color w:val="0070C0"/>
          <w:sz w:val="22"/>
          <w:szCs w:val="22"/>
          <w:highlight w:val="green"/>
        </w:rPr>
        <w:t>第1項</w:t>
      </w:r>
      <w:r w:rsidR="00C30BE8" w:rsidRPr="00282963">
        <w:rPr>
          <w:rFonts w:ascii="標楷體" w:eastAsia="標楷體" w:hAnsi="標楷體" w:hint="eastAsia"/>
          <w:color w:val="000000" w:themeColor="text1"/>
          <w:sz w:val="22"/>
          <w:szCs w:val="22"/>
        </w:rPr>
        <w:t>、第24條之5</w:t>
      </w:r>
      <w:r w:rsidR="00510B68" w:rsidRPr="00510B68">
        <w:rPr>
          <w:rFonts w:ascii="標楷體" w:eastAsia="標楷體" w:hAnsi="標楷體" w:hint="eastAsia"/>
          <w:color w:val="0070C0"/>
          <w:sz w:val="22"/>
          <w:szCs w:val="22"/>
          <w:highlight w:val="green"/>
        </w:rPr>
        <w:t>第4項</w:t>
      </w:r>
      <w:r w:rsidR="00C30BE8" w:rsidRPr="00282963">
        <w:rPr>
          <w:rFonts w:ascii="標楷體" w:eastAsia="標楷體" w:hAnsi="標楷體" w:hint="eastAsia"/>
          <w:color w:val="000000" w:themeColor="text1"/>
          <w:sz w:val="22"/>
          <w:szCs w:val="22"/>
        </w:rPr>
        <w:t>規定之房屋、土地及股權之收入、成本、費用、損失明細表」</w:t>
      </w:r>
      <w:r w:rsidR="00EE5EDC" w:rsidRPr="00282963">
        <w:rPr>
          <w:rFonts w:ascii="標楷體" w:eastAsia="標楷體" w:hAnsi="標楷體" w:hint="eastAsia"/>
          <w:color w:val="000000" w:themeColor="text1"/>
          <w:sz w:val="22"/>
          <w:szCs w:val="22"/>
        </w:rPr>
        <w:t>。</w:t>
      </w:r>
      <w:r w:rsidR="00C30BE8" w:rsidRPr="00282963">
        <w:rPr>
          <w:rFonts w:ascii="標楷體" w:eastAsia="標楷體" w:hAnsi="標楷體" w:hint="eastAsia"/>
          <w:color w:val="000000" w:themeColor="text1"/>
          <w:sz w:val="22"/>
          <w:szCs w:val="22"/>
        </w:rPr>
        <w:t>總機構在中華民國境外之營利事業，在境內有固定營業場所或營業代理人者，交易上開房屋、土地或股權之損益應先填入第40欄或第48欄，再於第58欄減除，並填報第</w:t>
      </w:r>
      <w:r w:rsidR="00BA296B" w:rsidRPr="00282963">
        <w:rPr>
          <w:rFonts w:ascii="標楷體" w:eastAsia="標楷體" w:hAnsi="標楷體" w:hint="eastAsia"/>
          <w:color w:val="000000" w:themeColor="text1"/>
          <w:sz w:val="22"/>
          <w:szCs w:val="22"/>
        </w:rPr>
        <w:t>C1</w:t>
      </w:r>
      <w:r w:rsidR="00C30BE8" w:rsidRPr="00282963">
        <w:rPr>
          <w:rFonts w:ascii="標楷體" w:eastAsia="標楷體" w:hAnsi="標楷體" w:hint="eastAsia"/>
          <w:color w:val="000000" w:themeColor="text1"/>
          <w:sz w:val="22"/>
          <w:szCs w:val="22"/>
        </w:rPr>
        <w:t>頁，計算應納稅額填入第131欄；符合所得稅法第4條之5規定免納所得稅之土地交易損益，請填入第101欄。</w:t>
      </w:r>
    </w:p>
    <w:p w:rsidR="00DC7BB0" w:rsidRDefault="001332AE" w:rsidP="00541FCF">
      <w:pPr>
        <w:spacing w:line="220" w:lineRule="exact"/>
        <w:ind w:left="661" w:hangingChars="300" w:hanging="661"/>
        <w:jc w:val="both"/>
        <w:rPr>
          <w:rFonts w:ascii="標楷體" w:eastAsia="標楷體" w:hAnsi="標楷體"/>
          <w:color w:val="000000" w:themeColor="text1"/>
          <w:sz w:val="22"/>
          <w:szCs w:val="22"/>
        </w:rPr>
      </w:pPr>
      <w:r w:rsidRPr="00510B68">
        <w:rPr>
          <w:rFonts w:ascii="標楷體" w:eastAsia="標楷體" w:hAnsi="標楷體" w:hint="eastAsia"/>
          <w:b/>
          <w:color w:val="0070C0"/>
          <w:sz w:val="22"/>
          <w:szCs w:val="22"/>
          <w:highlight w:val="green"/>
        </w:rPr>
        <w:t>十</w:t>
      </w:r>
      <w:r w:rsidR="00510B68" w:rsidRPr="00510B68">
        <w:rPr>
          <w:rFonts w:ascii="標楷體" w:eastAsia="標楷體" w:hAnsi="標楷體" w:hint="eastAsia"/>
          <w:b/>
          <w:color w:val="0070C0"/>
          <w:sz w:val="22"/>
          <w:szCs w:val="22"/>
          <w:highlight w:val="green"/>
        </w:rPr>
        <w:t>三</w:t>
      </w:r>
      <w:r w:rsidR="00C30BE8" w:rsidRPr="00282963">
        <w:rPr>
          <w:rFonts w:ascii="標楷體" w:eastAsia="標楷體" w:hAnsi="標楷體" w:hint="eastAsia"/>
          <w:color w:val="000000" w:themeColor="text1"/>
          <w:sz w:val="22"/>
          <w:szCs w:val="22"/>
        </w:rPr>
        <w:t>、總機構在中華民國境外之營利事業，在中華民國境內無固定營業場所及營業代理人，委託代理人代為申報者，不適用本申報書，應填報「在中華民國境內無固定營業場所及營業代理人之營利事業所得稅申報書」。</w:t>
      </w:r>
    </w:p>
    <w:p w:rsidR="00541FCF" w:rsidRPr="00541FCF" w:rsidRDefault="00541FCF" w:rsidP="00541FCF">
      <w:pPr>
        <w:spacing w:line="220" w:lineRule="exact"/>
        <w:ind w:left="661" w:hangingChars="300" w:hanging="661"/>
        <w:jc w:val="both"/>
        <w:rPr>
          <w:rFonts w:ascii="標楷體" w:eastAsia="標楷體" w:hAnsi="標楷體"/>
          <w:b/>
          <w:color w:val="FF0000"/>
          <w:sz w:val="22"/>
          <w:szCs w:val="22"/>
        </w:rPr>
      </w:pPr>
      <w:r w:rsidRPr="00510B68">
        <w:rPr>
          <w:rFonts w:ascii="標楷體" w:eastAsia="標楷體" w:hAnsi="標楷體" w:hint="eastAsia"/>
          <w:b/>
          <w:color w:val="0070C0"/>
          <w:sz w:val="22"/>
          <w:szCs w:val="22"/>
          <w:highlight w:val="green"/>
        </w:rPr>
        <w:t>十</w:t>
      </w:r>
      <w:r w:rsidR="00510B68" w:rsidRPr="00510B68">
        <w:rPr>
          <w:rFonts w:ascii="標楷體" w:eastAsia="標楷體" w:hAnsi="標楷體" w:hint="eastAsia"/>
          <w:b/>
          <w:color w:val="0070C0"/>
          <w:sz w:val="22"/>
          <w:szCs w:val="22"/>
          <w:highlight w:val="green"/>
        </w:rPr>
        <w:t>四</w:t>
      </w:r>
      <w:r w:rsidRPr="00541FCF">
        <w:rPr>
          <w:rFonts w:ascii="標楷體" w:eastAsia="標楷體" w:hAnsi="標楷體" w:hint="eastAsia"/>
          <w:b/>
          <w:color w:val="FF0000"/>
          <w:sz w:val="22"/>
          <w:szCs w:val="22"/>
          <w:highlight w:val="green"/>
        </w:rPr>
        <w:t>、適用產業創新條第23條之1規定之營利事業應依規定辦理結（決）算申報，無須計算及繳納其應納稅額，不適用所得稅法第42條規定，其因投資其他營利事業所獲配之股利淨額或盈餘淨額，應填入第35欄「自行依法調整後金額」；其符合所得稅法第4條之4第1項</w:t>
      </w:r>
      <w:r w:rsidR="000B7F9B">
        <w:rPr>
          <w:rFonts w:ascii="標楷體" w:eastAsia="標楷體" w:hAnsi="標楷體" w:hint="eastAsia"/>
          <w:b/>
          <w:color w:val="FF0000"/>
          <w:sz w:val="22"/>
          <w:szCs w:val="22"/>
          <w:highlight w:val="green"/>
        </w:rPr>
        <w:t>規定之房屋、土地交易，應</w:t>
      </w:r>
      <w:r w:rsidRPr="00541FCF">
        <w:rPr>
          <w:rFonts w:ascii="標楷體" w:eastAsia="標楷體" w:hAnsi="標楷體" w:hint="eastAsia"/>
          <w:b/>
          <w:color w:val="FF0000"/>
          <w:sz w:val="22"/>
          <w:szCs w:val="22"/>
          <w:highlight w:val="green"/>
        </w:rPr>
        <w:t>以該交易所得額減除得減除之土地漲價總數額，依處分資產利益或處分資產損失分別填入自行依法調整後金額第40欄或第48欄。</w:t>
      </w:r>
    </w:p>
    <w:p w:rsidR="008C321E" w:rsidRPr="00282963" w:rsidRDefault="008C321E">
      <w:pPr>
        <w:spacing w:before="50" w:line="220" w:lineRule="exact"/>
        <w:jc w:val="center"/>
        <w:rPr>
          <w:rFonts w:ascii="標楷體" w:eastAsia="標楷體" w:hAnsi="標楷體"/>
          <w:color w:val="000000" w:themeColor="text1"/>
        </w:rPr>
      </w:pPr>
      <w:r w:rsidRPr="00282963">
        <w:rPr>
          <w:rFonts w:ascii="標楷體" w:eastAsia="標楷體" w:hAnsi="標楷體" w:hint="eastAsia"/>
          <w:color w:val="000000" w:themeColor="text1"/>
        </w:rPr>
        <w:t>（第1頁背面）</w:t>
      </w:r>
    </w:p>
    <w:sectPr w:rsidR="008C321E" w:rsidRPr="00282963" w:rsidSect="00974547">
      <w:pgSz w:w="16840" w:h="23814" w:code="8"/>
      <w:pgMar w:top="568" w:right="1191" w:bottom="142" w:left="1191" w:header="1020" w:footer="567"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28A2" w:rsidRDefault="00D328A2">
      <w:r>
        <w:separator/>
      </w:r>
    </w:p>
  </w:endnote>
  <w:endnote w:type="continuationSeparator" w:id="0">
    <w:p w:rsidR="00D328A2" w:rsidRDefault="00D328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DFKaiShu-SB-Estd-BF">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28A2" w:rsidRDefault="00D328A2">
      <w:r>
        <w:separator/>
      </w:r>
    </w:p>
  </w:footnote>
  <w:footnote w:type="continuationSeparator" w:id="0">
    <w:p w:rsidR="00D328A2" w:rsidRDefault="00D328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449497B"/>
    <w:multiLevelType w:val="hybridMultilevel"/>
    <w:tmpl w:val="7AE2905E"/>
    <w:lvl w:ilvl="0" w:tplc="C70A6B1C">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nsid w:val="74257816"/>
    <w:multiLevelType w:val="hybridMultilevel"/>
    <w:tmpl w:val="1DEAF08E"/>
    <w:lvl w:ilvl="0" w:tplc="B6BCEF4A">
      <w:start w:val="1"/>
      <w:numFmt w:val="taiwaneseCountingThousand"/>
      <w:lvlText w:val="%1、"/>
      <w:lvlJc w:val="left"/>
      <w:pPr>
        <w:tabs>
          <w:tab w:val="num" w:pos="450"/>
        </w:tabs>
        <w:ind w:left="450" w:hanging="450"/>
      </w:pPr>
      <w:rPr>
        <w:rFonts w:hint="eastAsia"/>
      </w:rPr>
    </w:lvl>
    <w:lvl w:ilvl="1" w:tplc="249A8E50">
      <w:start w:val="1"/>
      <w:numFmt w:val="taiwaneseCountingThousand"/>
      <w:lvlText w:val="（%2）"/>
      <w:lvlJc w:val="left"/>
      <w:pPr>
        <w:tabs>
          <w:tab w:val="num" w:pos="1200"/>
        </w:tabs>
        <w:ind w:left="1200" w:hanging="720"/>
      </w:pPr>
      <w:rPr>
        <w:rFonts w:hint="eastAsia"/>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nsid w:val="7D7959AF"/>
    <w:multiLevelType w:val="hybridMultilevel"/>
    <w:tmpl w:val="F976BA0A"/>
    <w:lvl w:ilvl="0" w:tplc="B2AC17DE">
      <w:start w:val="1"/>
      <w:numFmt w:val="decimal"/>
      <w:lvlText w:val="(%1)"/>
      <w:lvlJc w:val="left"/>
      <w:pPr>
        <w:tabs>
          <w:tab w:val="num" w:pos="1005"/>
        </w:tabs>
        <w:ind w:left="1005" w:hanging="360"/>
      </w:pPr>
      <w:rPr>
        <w:rFonts w:hint="eastAsia"/>
      </w:rPr>
    </w:lvl>
    <w:lvl w:ilvl="1" w:tplc="04090019" w:tentative="1">
      <w:start w:val="1"/>
      <w:numFmt w:val="ideographTraditional"/>
      <w:lvlText w:val="%2、"/>
      <w:lvlJc w:val="left"/>
      <w:pPr>
        <w:tabs>
          <w:tab w:val="num" w:pos="1605"/>
        </w:tabs>
        <w:ind w:left="1605" w:hanging="480"/>
      </w:pPr>
    </w:lvl>
    <w:lvl w:ilvl="2" w:tplc="0409001B" w:tentative="1">
      <w:start w:val="1"/>
      <w:numFmt w:val="lowerRoman"/>
      <w:lvlText w:val="%3."/>
      <w:lvlJc w:val="right"/>
      <w:pPr>
        <w:tabs>
          <w:tab w:val="num" w:pos="2085"/>
        </w:tabs>
        <w:ind w:left="2085" w:hanging="480"/>
      </w:pPr>
    </w:lvl>
    <w:lvl w:ilvl="3" w:tplc="0409000F" w:tentative="1">
      <w:start w:val="1"/>
      <w:numFmt w:val="decimal"/>
      <w:lvlText w:val="%4."/>
      <w:lvlJc w:val="left"/>
      <w:pPr>
        <w:tabs>
          <w:tab w:val="num" w:pos="2565"/>
        </w:tabs>
        <w:ind w:left="2565" w:hanging="480"/>
      </w:pPr>
    </w:lvl>
    <w:lvl w:ilvl="4" w:tplc="04090019" w:tentative="1">
      <w:start w:val="1"/>
      <w:numFmt w:val="ideographTraditional"/>
      <w:lvlText w:val="%5、"/>
      <w:lvlJc w:val="left"/>
      <w:pPr>
        <w:tabs>
          <w:tab w:val="num" w:pos="3045"/>
        </w:tabs>
        <w:ind w:left="3045" w:hanging="480"/>
      </w:pPr>
    </w:lvl>
    <w:lvl w:ilvl="5" w:tplc="0409001B" w:tentative="1">
      <w:start w:val="1"/>
      <w:numFmt w:val="lowerRoman"/>
      <w:lvlText w:val="%6."/>
      <w:lvlJc w:val="right"/>
      <w:pPr>
        <w:tabs>
          <w:tab w:val="num" w:pos="3525"/>
        </w:tabs>
        <w:ind w:left="3525" w:hanging="480"/>
      </w:pPr>
    </w:lvl>
    <w:lvl w:ilvl="6" w:tplc="0409000F" w:tentative="1">
      <w:start w:val="1"/>
      <w:numFmt w:val="decimal"/>
      <w:lvlText w:val="%7."/>
      <w:lvlJc w:val="left"/>
      <w:pPr>
        <w:tabs>
          <w:tab w:val="num" w:pos="4005"/>
        </w:tabs>
        <w:ind w:left="4005" w:hanging="480"/>
      </w:pPr>
    </w:lvl>
    <w:lvl w:ilvl="7" w:tplc="04090019" w:tentative="1">
      <w:start w:val="1"/>
      <w:numFmt w:val="ideographTraditional"/>
      <w:lvlText w:val="%8、"/>
      <w:lvlJc w:val="left"/>
      <w:pPr>
        <w:tabs>
          <w:tab w:val="num" w:pos="4485"/>
        </w:tabs>
        <w:ind w:left="4485" w:hanging="480"/>
      </w:pPr>
    </w:lvl>
    <w:lvl w:ilvl="8" w:tplc="0409001B" w:tentative="1">
      <w:start w:val="1"/>
      <w:numFmt w:val="lowerRoman"/>
      <w:lvlText w:val="%9."/>
      <w:lvlJc w:val="right"/>
      <w:pPr>
        <w:tabs>
          <w:tab w:val="num" w:pos="4965"/>
        </w:tabs>
        <w:ind w:left="4965"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6529"/>
    <w:rsid w:val="00001FCF"/>
    <w:rsid w:val="00065F72"/>
    <w:rsid w:val="0007349D"/>
    <w:rsid w:val="00097856"/>
    <w:rsid w:val="000B5F37"/>
    <w:rsid w:val="000B79D8"/>
    <w:rsid w:val="000B7F9B"/>
    <w:rsid w:val="000D064C"/>
    <w:rsid w:val="000D6A10"/>
    <w:rsid w:val="000F1C8B"/>
    <w:rsid w:val="000F34F3"/>
    <w:rsid w:val="000F4C57"/>
    <w:rsid w:val="001332AE"/>
    <w:rsid w:val="001473F2"/>
    <w:rsid w:val="00157E7A"/>
    <w:rsid w:val="00191B55"/>
    <w:rsid w:val="001922CC"/>
    <w:rsid w:val="001A60C9"/>
    <w:rsid w:val="001A767D"/>
    <w:rsid w:val="001B511D"/>
    <w:rsid w:val="001E3662"/>
    <w:rsid w:val="0024102B"/>
    <w:rsid w:val="0024405E"/>
    <w:rsid w:val="0024777E"/>
    <w:rsid w:val="0026735D"/>
    <w:rsid w:val="00282963"/>
    <w:rsid w:val="002A2EFC"/>
    <w:rsid w:val="002C2BC7"/>
    <w:rsid w:val="002C2DA3"/>
    <w:rsid w:val="002E0E25"/>
    <w:rsid w:val="002F123A"/>
    <w:rsid w:val="00300652"/>
    <w:rsid w:val="0030485B"/>
    <w:rsid w:val="00382996"/>
    <w:rsid w:val="003B2CD1"/>
    <w:rsid w:val="003B5915"/>
    <w:rsid w:val="003B71E5"/>
    <w:rsid w:val="003D1461"/>
    <w:rsid w:val="00410D42"/>
    <w:rsid w:val="004228D2"/>
    <w:rsid w:val="00426C40"/>
    <w:rsid w:val="00442D3E"/>
    <w:rsid w:val="004444F8"/>
    <w:rsid w:val="00445424"/>
    <w:rsid w:val="004634B0"/>
    <w:rsid w:val="00466991"/>
    <w:rsid w:val="005064D1"/>
    <w:rsid w:val="00510B68"/>
    <w:rsid w:val="00521FE8"/>
    <w:rsid w:val="00541C16"/>
    <w:rsid w:val="00541FCF"/>
    <w:rsid w:val="00553B04"/>
    <w:rsid w:val="00584FB5"/>
    <w:rsid w:val="005C6AD6"/>
    <w:rsid w:val="005D0F96"/>
    <w:rsid w:val="005E18A8"/>
    <w:rsid w:val="006063D1"/>
    <w:rsid w:val="006142A4"/>
    <w:rsid w:val="006460CE"/>
    <w:rsid w:val="0064778F"/>
    <w:rsid w:val="00657357"/>
    <w:rsid w:val="00676D6C"/>
    <w:rsid w:val="00710B0B"/>
    <w:rsid w:val="00734142"/>
    <w:rsid w:val="007701F0"/>
    <w:rsid w:val="00770447"/>
    <w:rsid w:val="00771EA4"/>
    <w:rsid w:val="007932DA"/>
    <w:rsid w:val="0085300F"/>
    <w:rsid w:val="00854844"/>
    <w:rsid w:val="008678BA"/>
    <w:rsid w:val="008727E3"/>
    <w:rsid w:val="008860F3"/>
    <w:rsid w:val="008C321E"/>
    <w:rsid w:val="008C7467"/>
    <w:rsid w:val="008D3C09"/>
    <w:rsid w:val="009208EF"/>
    <w:rsid w:val="009236B5"/>
    <w:rsid w:val="00960193"/>
    <w:rsid w:val="00974547"/>
    <w:rsid w:val="00986529"/>
    <w:rsid w:val="009945F7"/>
    <w:rsid w:val="009C2430"/>
    <w:rsid w:val="009F25DB"/>
    <w:rsid w:val="00AD7DBA"/>
    <w:rsid w:val="00AF2ABD"/>
    <w:rsid w:val="00B304F5"/>
    <w:rsid w:val="00B807FB"/>
    <w:rsid w:val="00B97905"/>
    <w:rsid w:val="00BA296B"/>
    <w:rsid w:val="00BA646B"/>
    <w:rsid w:val="00BA7230"/>
    <w:rsid w:val="00BC24CE"/>
    <w:rsid w:val="00C0484B"/>
    <w:rsid w:val="00C13780"/>
    <w:rsid w:val="00C16572"/>
    <w:rsid w:val="00C30BE8"/>
    <w:rsid w:val="00C4060F"/>
    <w:rsid w:val="00C7078B"/>
    <w:rsid w:val="00C72AC6"/>
    <w:rsid w:val="00CC7AB5"/>
    <w:rsid w:val="00CD02C8"/>
    <w:rsid w:val="00D26998"/>
    <w:rsid w:val="00D318E6"/>
    <w:rsid w:val="00D328A2"/>
    <w:rsid w:val="00D6114A"/>
    <w:rsid w:val="00D7789C"/>
    <w:rsid w:val="00DA4728"/>
    <w:rsid w:val="00DB152C"/>
    <w:rsid w:val="00DC7BB0"/>
    <w:rsid w:val="00DF6B56"/>
    <w:rsid w:val="00E314B5"/>
    <w:rsid w:val="00E35778"/>
    <w:rsid w:val="00E44FF6"/>
    <w:rsid w:val="00E452A4"/>
    <w:rsid w:val="00E82680"/>
    <w:rsid w:val="00E9772E"/>
    <w:rsid w:val="00EB0D02"/>
    <w:rsid w:val="00EB31D1"/>
    <w:rsid w:val="00EC58AB"/>
    <w:rsid w:val="00EE5EDC"/>
    <w:rsid w:val="00F17961"/>
    <w:rsid w:val="00F200F4"/>
    <w:rsid w:val="00F53CAD"/>
    <w:rsid w:val="00F80434"/>
    <w:rsid w:val="00F8426F"/>
    <w:rsid w:val="00F85C33"/>
    <w:rsid w:val="00FA46C7"/>
    <w:rsid w:val="00FA4862"/>
    <w:rsid w:val="00FA7F53"/>
    <w:rsid w:val="00FD3A87"/>
    <w:rsid w:val="00FE47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AD1D564-0C7B-4230-998F-3F0B760D91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semiHidden/>
    <w:pPr>
      <w:spacing w:line="220" w:lineRule="exact"/>
      <w:ind w:left="440" w:hangingChars="200" w:hanging="440"/>
    </w:pPr>
    <w:rPr>
      <w:rFonts w:ascii="標楷體" w:eastAsia="標楷體"/>
      <w:sz w:val="22"/>
    </w:rPr>
  </w:style>
  <w:style w:type="paragraph" w:styleId="2">
    <w:name w:val="Body Text Indent 2"/>
    <w:basedOn w:val="a"/>
    <w:semiHidden/>
    <w:pPr>
      <w:spacing w:line="220" w:lineRule="exact"/>
      <w:ind w:left="1078" w:hangingChars="490" w:hanging="1078"/>
    </w:pPr>
    <w:rPr>
      <w:rFonts w:ascii="標楷體" w:eastAsia="標楷體"/>
      <w:sz w:val="22"/>
    </w:rPr>
  </w:style>
  <w:style w:type="paragraph" w:styleId="a4">
    <w:name w:val="header"/>
    <w:basedOn w:val="a"/>
    <w:semiHidden/>
    <w:pPr>
      <w:tabs>
        <w:tab w:val="center" w:pos="4153"/>
        <w:tab w:val="right" w:pos="8306"/>
      </w:tabs>
      <w:snapToGrid w:val="0"/>
    </w:pPr>
    <w:rPr>
      <w:sz w:val="20"/>
      <w:szCs w:val="20"/>
    </w:rPr>
  </w:style>
  <w:style w:type="paragraph" w:customStyle="1" w:styleId="1">
    <w:name w:val="須知1"/>
    <w:basedOn w:val="a"/>
    <w:pPr>
      <w:spacing w:line="300" w:lineRule="exact"/>
      <w:ind w:left="440" w:hangingChars="200" w:hanging="440"/>
    </w:pPr>
    <w:rPr>
      <w:rFonts w:ascii="標楷體" w:eastAsia="標楷體" w:hAnsi="標楷體"/>
      <w:sz w:val="22"/>
      <w:shd w:val="pct15" w:color="auto" w:fill="FFFFFF"/>
    </w:rPr>
  </w:style>
  <w:style w:type="paragraph" w:styleId="a5">
    <w:name w:val="footer"/>
    <w:basedOn w:val="a"/>
    <w:semiHidden/>
    <w:pPr>
      <w:tabs>
        <w:tab w:val="center" w:pos="4153"/>
        <w:tab w:val="right" w:pos="8306"/>
      </w:tabs>
      <w:snapToGrid w:val="0"/>
    </w:pPr>
    <w:rPr>
      <w:sz w:val="20"/>
      <w:szCs w:val="20"/>
    </w:rPr>
  </w:style>
  <w:style w:type="paragraph" w:styleId="a6">
    <w:name w:val="Balloon Text"/>
    <w:basedOn w:val="a"/>
    <w:semiHidden/>
    <w:unhideWhenUsed/>
    <w:rPr>
      <w:rFonts w:ascii="Cambria" w:hAnsi="Cambria"/>
      <w:sz w:val="18"/>
      <w:szCs w:val="18"/>
      <w:lang w:val="x-none" w:eastAsia="x-none"/>
    </w:rPr>
  </w:style>
  <w:style w:type="character" w:customStyle="1" w:styleId="a7">
    <w:name w:val="註解方塊文字 字元"/>
    <w:semiHidden/>
    <w:rPr>
      <w:rFonts w:ascii="Cambria" w:eastAsia="新細明體" w:hAnsi="Cambria"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479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694</Words>
  <Characters>3958</Characters>
  <Application>Microsoft Office Word</Application>
  <DocSecurity>0</DocSecurity>
  <Lines>32</Lines>
  <Paragraphs>9</Paragraphs>
  <ScaleCrop>false</ScaleCrop>
  <Company>mitac</Company>
  <LinksUpToDate>false</LinksUpToDate>
  <CharactersWithSpaces>4643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申　報　須　知 -----</dc:title>
  <dc:creator>iis0502</dc:creator>
  <cp:lastModifiedBy>劉宗榮(NH17086)</cp:lastModifiedBy>
  <cp:revision>5</cp:revision>
  <cp:lastPrinted>2016-10-21T01:19:00Z</cp:lastPrinted>
  <dcterms:created xsi:type="dcterms:W3CDTF">2017-12-25T03:07:00Z</dcterms:created>
  <dcterms:modified xsi:type="dcterms:W3CDTF">2018-01-26T06:28:00Z</dcterms:modified>
</cp:coreProperties>
</file>