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D69" w:rsidRPr="00916287" w:rsidRDefault="002F4A04" w:rsidP="009F2D69">
      <w:pPr>
        <w:pStyle w:val="a6"/>
        <w:spacing w:line="240" w:lineRule="atLeast"/>
        <w:ind w:left="561" w:hanging="561"/>
        <w:rPr>
          <w:rFonts w:eastAsia="標楷體"/>
          <w:b/>
          <w:color w:val="000000"/>
          <w:sz w:val="28"/>
          <w:szCs w:val="28"/>
        </w:rPr>
      </w:pPr>
      <w:r w:rsidRPr="00916287">
        <w:rPr>
          <w:rFonts w:eastAsia="標楷體" w:hint="eastAsia"/>
          <w:b/>
          <w:color w:val="000000"/>
          <w:sz w:val="28"/>
          <w:szCs w:val="28"/>
          <w:lang w:eastAsia="zh-TW"/>
        </w:rPr>
        <w:t>附註</w:t>
      </w:r>
      <w:r w:rsidR="009F2D69" w:rsidRPr="00916287">
        <w:rPr>
          <w:rFonts w:eastAsia="標楷體" w:hint="eastAsia"/>
          <w:b/>
          <w:color w:val="000000"/>
          <w:sz w:val="28"/>
          <w:szCs w:val="28"/>
        </w:rPr>
        <w:t>：</w:t>
      </w:r>
    </w:p>
    <w:p w:rsidR="009F2D69" w:rsidRPr="00916287" w:rsidRDefault="009F2D69" w:rsidP="009F2D69">
      <w:pPr>
        <w:pStyle w:val="a6"/>
        <w:spacing w:afterLines="50" w:after="180" w:line="240" w:lineRule="atLeast"/>
        <w:ind w:left="480" w:hangingChars="200" w:hanging="480"/>
        <w:rPr>
          <w:rFonts w:eastAsia="標楷體"/>
          <w:color w:val="000000"/>
          <w:sz w:val="24"/>
          <w:szCs w:val="24"/>
        </w:rPr>
      </w:pPr>
      <w:r w:rsidRPr="00916287">
        <w:rPr>
          <w:rFonts w:eastAsia="標楷體" w:hint="eastAsia"/>
          <w:color w:val="000000"/>
          <w:sz w:val="24"/>
          <w:szCs w:val="24"/>
        </w:rPr>
        <w:t>一、申報時，請依本申報書所列之</w:t>
      </w:r>
      <w:r w:rsidR="00060756" w:rsidRPr="00916287">
        <w:rPr>
          <w:rFonts w:eastAsia="標楷體" w:hint="eastAsia"/>
          <w:color w:val="000000"/>
          <w:sz w:val="24"/>
          <w:szCs w:val="24"/>
          <w:lang w:eastAsia="zh-TW"/>
        </w:rPr>
        <w:t>項</w:t>
      </w:r>
      <w:r w:rsidRPr="00916287">
        <w:rPr>
          <w:rFonts w:eastAsia="標楷體" w:hint="eastAsia"/>
          <w:color w:val="000000"/>
          <w:sz w:val="24"/>
          <w:szCs w:val="24"/>
        </w:rPr>
        <w:t>目填報，無法歸類之</w:t>
      </w:r>
      <w:r w:rsidR="00060756" w:rsidRPr="00916287">
        <w:rPr>
          <w:rFonts w:eastAsia="標楷體" w:hint="eastAsia"/>
          <w:color w:val="000000"/>
          <w:sz w:val="24"/>
          <w:szCs w:val="24"/>
          <w:lang w:eastAsia="zh-TW"/>
        </w:rPr>
        <w:t>項</w:t>
      </w:r>
      <w:r w:rsidRPr="00916287">
        <w:rPr>
          <w:rFonts w:eastAsia="標楷體" w:hint="eastAsia"/>
          <w:color w:val="000000"/>
          <w:sz w:val="24"/>
          <w:szCs w:val="24"/>
        </w:rPr>
        <w:t>目，請依</w:t>
      </w:r>
      <w:r w:rsidR="00060756" w:rsidRPr="00916287">
        <w:rPr>
          <w:rFonts w:eastAsia="標楷體" w:hint="eastAsia"/>
          <w:color w:val="000000"/>
          <w:sz w:val="24"/>
          <w:szCs w:val="24"/>
          <w:lang w:eastAsia="zh-TW"/>
        </w:rPr>
        <w:t>項</w:t>
      </w:r>
      <w:r w:rsidRPr="00916287">
        <w:rPr>
          <w:rFonts w:eastAsia="標楷體" w:hint="eastAsia"/>
          <w:color w:val="000000"/>
          <w:sz w:val="24"/>
          <w:szCs w:val="24"/>
        </w:rPr>
        <w:t>目性質填於「其他」項下；各</w:t>
      </w:r>
      <w:r w:rsidR="00060756" w:rsidRPr="00916287">
        <w:rPr>
          <w:rFonts w:eastAsia="標楷體" w:hint="eastAsia"/>
          <w:color w:val="000000"/>
          <w:sz w:val="24"/>
          <w:szCs w:val="24"/>
          <w:lang w:eastAsia="zh-TW"/>
        </w:rPr>
        <w:t>項</w:t>
      </w:r>
      <w:r w:rsidRPr="00916287">
        <w:rPr>
          <w:rFonts w:eastAsia="標楷體" w:hint="eastAsia"/>
          <w:color w:val="000000"/>
          <w:sz w:val="24"/>
          <w:szCs w:val="24"/>
        </w:rPr>
        <w:t>目請依商業會計法規定處理金額填報，如經會計師財務簽證者，應以會計師查定數為準。</w:t>
      </w:r>
    </w:p>
    <w:p w:rsidR="009F2D69" w:rsidRPr="00916287" w:rsidRDefault="009F2D69" w:rsidP="009F2D69">
      <w:pPr>
        <w:pStyle w:val="a6"/>
        <w:spacing w:afterLines="50" w:after="180" w:line="240" w:lineRule="atLeast"/>
        <w:ind w:left="480" w:hangingChars="200" w:hanging="480"/>
        <w:rPr>
          <w:rFonts w:eastAsia="標楷體"/>
          <w:color w:val="000000"/>
          <w:sz w:val="24"/>
          <w:szCs w:val="24"/>
          <w:lang w:eastAsia="zh-TW"/>
        </w:rPr>
      </w:pPr>
      <w:r w:rsidRPr="00916287">
        <w:rPr>
          <w:rFonts w:eastAsia="標楷體" w:hint="eastAsia"/>
          <w:color w:val="000000"/>
          <w:sz w:val="24"/>
          <w:szCs w:val="24"/>
        </w:rPr>
        <w:t>二、供獨資、合夥及非公開發行公司等營利事業依商業會計處理準則</w:t>
      </w:r>
      <w:r w:rsidR="001A4433" w:rsidRPr="00916287">
        <w:rPr>
          <w:rFonts w:eastAsia="標楷體" w:hint="eastAsia"/>
          <w:color w:val="000000"/>
          <w:sz w:val="24"/>
          <w:szCs w:val="24"/>
          <w:lang w:eastAsia="zh-TW"/>
        </w:rPr>
        <w:t>之</w:t>
      </w:r>
      <w:r w:rsidRPr="00916287">
        <w:rPr>
          <w:rFonts w:eastAsia="標楷體" w:hint="eastAsia"/>
          <w:color w:val="000000"/>
          <w:sz w:val="24"/>
          <w:szCs w:val="24"/>
          <w:lang w:eastAsia="zh-TW"/>
        </w:rPr>
        <w:t>短期性</w:t>
      </w:r>
      <w:r w:rsidR="001A4433" w:rsidRPr="00916287">
        <w:rPr>
          <w:rFonts w:eastAsia="標楷體" w:hint="eastAsia"/>
          <w:color w:val="000000"/>
          <w:sz w:val="24"/>
          <w:szCs w:val="24"/>
          <w:lang w:eastAsia="zh-TW"/>
        </w:rPr>
        <w:t>投資或長期性投資會計項目分別</w:t>
      </w:r>
      <w:r w:rsidRPr="00916287">
        <w:rPr>
          <w:rFonts w:eastAsia="標楷體" w:hint="eastAsia"/>
          <w:color w:val="000000"/>
          <w:sz w:val="24"/>
          <w:szCs w:val="24"/>
        </w:rPr>
        <w:t>彙整填列。</w:t>
      </w:r>
    </w:p>
    <w:p w:rsidR="00F023EA" w:rsidRPr="00916287" w:rsidRDefault="00F023EA" w:rsidP="00F023EA">
      <w:pPr>
        <w:pStyle w:val="a6"/>
        <w:spacing w:afterLines="50" w:after="180" w:line="240" w:lineRule="atLeast"/>
        <w:ind w:left="480" w:hangingChars="200" w:hanging="480"/>
        <w:rPr>
          <w:rFonts w:eastAsia="標楷體"/>
          <w:color w:val="000000"/>
          <w:sz w:val="24"/>
          <w:szCs w:val="24"/>
          <w:lang w:eastAsia="zh-TW"/>
        </w:rPr>
      </w:pPr>
      <w:r w:rsidRPr="00916287">
        <w:rPr>
          <w:rFonts w:eastAsia="標楷體" w:hint="eastAsia"/>
          <w:color w:val="000000"/>
          <w:sz w:val="24"/>
          <w:szCs w:val="24"/>
          <w:lang w:eastAsia="zh-TW"/>
        </w:rPr>
        <w:t>三、供公開發行公司填列（獨資、合夥及非公開發行公司等營利事業亦可選擇按此</w:t>
      </w:r>
      <w:r w:rsidR="00060756" w:rsidRPr="00916287">
        <w:rPr>
          <w:rFonts w:eastAsia="標楷體" w:hint="eastAsia"/>
          <w:color w:val="000000"/>
          <w:sz w:val="24"/>
          <w:szCs w:val="24"/>
          <w:lang w:eastAsia="zh-TW"/>
        </w:rPr>
        <w:t>項</w:t>
      </w:r>
      <w:r w:rsidRPr="00916287">
        <w:rPr>
          <w:rFonts w:eastAsia="標楷體" w:hint="eastAsia"/>
          <w:color w:val="000000"/>
          <w:sz w:val="24"/>
          <w:szCs w:val="24"/>
          <w:lang w:eastAsia="zh-TW"/>
        </w:rPr>
        <w:t>目填列）。</w:t>
      </w:r>
    </w:p>
    <w:p w:rsidR="009F2D69" w:rsidRPr="00916287" w:rsidRDefault="00F023EA" w:rsidP="009F2D69">
      <w:pPr>
        <w:pStyle w:val="a6"/>
        <w:spacing w:afterLines="50" w:after="180" w:line="240" w:lineRule="atLeast"/>
        <w:ind w:left="480" w:hangingChars="200" w:hanging="480"/>
        <w:rPr>
          <w:rFonts w:eastAsia="標楷體"/>
          <w:color w:val="000000"/>
          <w:sz w:val="24"/>
          <w:szCs w:val="24"/>
        </w:rPr>
      </w:pPr>
      <w:r w:rsidRPr="00916287">
        <w:rPr>
          <w:rFonts w:eastAsia="標楷體" w:hint="eastAsia"/>
          <w:color w:val="000000"/>
          <w:sz w:val="24"/>
          <w:szCs w:val="24"/>
          <w:lang w:eastAsia="zh-TW"/>
        </w:rPr>
        <w:t>四</w:t>
      </w:r>
      <w:r w:rsidR="009F2D69" w:rsidRPr="00916287">
        <w:rPr>
          <w:rFonts w:eastAsia="標楷體" w:hint="eastAsia"/>
          <w:color w:val="000000"/>
          <w:sz w:val="24"/>
          <w:szCs w:val="24"/>
        </w:rPr>
        <w:t>、除金融保險業及公營事業外，其他營利事業均應依此表格內容填寫。</w:t>
      </w:r>
    </w:p>
    <w:p w:rsidR="005C4399" w:rsidRPr="00916287" w:rsidRDefault="005C4399" w:rsidP="005C4399">
      <w:pPr>
        <w:pStyle w:val="a6"/>
        <w:spacing w:line="240" w:lineRule="atLeast"/>
        <w:ind w:left="480" w:hangingChars="200" w:hanging="480"/>
        <w:rPr>
          <w:rFonts w:ascii="標楷體" w:eastAsia="標楷體" w:hAnsi="標楷體"/>
          <w:color w:val="000000"/>
          <w:sz w:val="24"/>
          <w:szCs w:val="24"/>
          <w:lang w:eastAsia="zh-TW"/>
        </w:rPr>
      </w:pPr>
      <w:r w:rsidRPr="00916287">
        <w:rPr>
          <w:rFonts w:eastAsia="標楷體" w:hint="eastAsia"/>
          <w:color w:val="000000"/>
          <w:sz w:val="24"/>
          <w:szCs w:val="24"/>
          <w:lang w:eastAsia="zh-TW"/>
        </w:rPr>
        <w:t>五</w:t>
      </w:r>
      <w:r w:rsidRPr="00916287">
        <w:rPr>
          <w:rFonts w:eastAsia="標楷體" w:hint="eastAsia"/>
          <w:color w:val="000000"/>
          <w:sz w:val="24"/>
          <w:szCs w:val="24"/>
        </w:rPr>
        <w:t>、</w:t>
      </w:r>
      <w:r w:rsidRPr="00916287">
        <w:rPr>
          <w:rFonts w:eastAsia="標楷體" w:hint="eastAsia"/>
          <w:color w:val="000000"/>
          <w:sz w:val="24"/>
          <w:szCs w:val="24"/>
          <w:lang w:eastAsia="zh-TW"/>
        </w:rPr>
        <w:t>「</w:t>
      </w:r>
      <w:r w:rsidRPr="00916287">
        <w:rPr>
          <w:rFonts w:ascii="標楷體" w:eastAsia="標楷體" w:hAnsi="標楷體" w:hint="eastAsia"/>
          <w:color w:val="000000"/>
          <w:sz w:val="24"/>
          <w:szCs w:val="24"/>
          <w:lang w:eastAsia="zh-TW"/>
        </w:rPr>
        <w:t>1541</w:t>
      </w:r>
      <w:r w:rsidRPr="00916287">
        <w:rPr>
          <w:rFonts w:ascii="標楷體" w:eastAsia="標楷體" w:hAnsi="標楷體" w:hint="eastAsia"/>
          <w:color w:val="000000"/>
          <w:sz w:val="24"/>
          <w:szCs w:val="24"/>
        </w:rPr>
        <w:t>投資性不動產</w:t>
      </w:r>
      <w:r w:rsidRPr="00916287">
        <w:rPr>
          <w:rFonts w:ascii="標楷體" w:eastAsia="標楷體" w:hAnsi="標楷體" w:hint="eastAsia"/>
          <w:color w:val="000000"/>
          <w:sz w:val="24"/>
          <w:szCs w:val="24"/>
          <w:lang w:eastAsia="zh-TW"/>
        </w:rPr>
        <w:t>」</w:t>
      </w:r>
      <w:r w:rsidRPr="00916287">
        <w:rPr>
          <w:rFonts w:ascii="標楷體" w:eastAsia="標楷體" w:hAnsi="標楷體" w:hint="eastAsia"/>
          <w:color w:val="000000"/>
          <w:sz w:val="24"/>
          <w:szCs w:val="24"/>
        </w:rPr>
        <w:t>、</w:t>
      </w:r>
      <w:r w:rsidRPr="00916287">
        <w:rPr>
          <w:rFonts w:eastAsia="標楷體" w:hint="eastAsia"/>
          <w:color w:val="000000"/>
          <w:sz w:val="24"/>
          <w:szCs w:val="24"/>
          <w:lang w:eastAsia="zh-TW"/>
        </w:rPr>
        <w:t>「</w:t>
      </w:r>
      <w:r w:rsidRPr="00916287">
        <w:rPr>
          <w:rFonts w:ascii="標楷體" w:eastAsia="標楷體" w:hAnsi="標楷體" w:hint="eastAsia"/>
          <w:color w:val="000000"/>
          <w:sz w:val="24"/>
          <w:szCs w:val="24"/>
          <w:lang w:eastAsia="zh-TW"/>
        </w:rPr>
        <w:t>1421</w:t>
      </w:r>
      <w:r w:rsidRPr="00916287">
        <w:rPr>
          <w:rFonts w:ascii="標楷體" w:eastAsia="標楷體" w:hAnsi="標楷體" w:hint="eastAsia"/>
          <w:color w:val="000000"/>
          <w:sz w:val="24"/>
          <w:szCs w:val="24"/>
        </w:rPr>
        <w:t>礦產資</w:t>
      </w:r>
      <w:r w:rsidRPr="00916287">
        <w:rPr>
          <w:rFonts w:ascii="標楷體" w:eastAsia="標楷體" w:hAnsi="標楷體" w:hint="eastAsia"/>
          <w:color w:val="000000"/>
          <w:sz w:val="24"/>
          <w:szCs w:val="24"/>
          <w:lang w:eastAsia="zh-TW"/>
        </w:rPr>
        <w:t>源」</w:t>
      </w:r>
      <w:r w:rsidRPr="00916287">
        <w:rPr>
          <w:rFonts w:ascii="標楷體" w:eastAsia="標楷體" w:hAnsi="標楷體" w:hint="eastAsia"/>
          <w:color w:val="000000"/>
          <w:sz w:val="24"/>
          <w:szCs w:val="24"/>
        </w:rPr>
        <w:t>及</w:t>
      </w:r>
      <w:r w:rsidRPr="00916287">
        <w:rPr>
          <w:rFonts w:eastAsia="標楷體" w:hint="eastAsia"/>
          <w:color w:val="000000"/>
          <w:sz w:val="24"/>
          <w:szCs w:val="24"/>
          <w:lang w:eastAsia="zh-TW"/>
        </w:rPr>
        <w:t>「</w:t>
      </w:r>
      <w:r w:rsidRPr="00916287">
        <w:rPr>
          <w:rFonts w:ascii="標楷體" w:eastAsia="標楷體" w:hAnsi="標楷體" w:hint="eastAsia"/>
          <w:color w:val="000000"/>
          <w:sz w:val="24"/>
          <w:szCs w:val="24"/>
          <w:lang w:eastAsia="zh-TW"/>
        </w:rPr>
        <w:t>1551</w:t>
      </w:r>
      <w:r w:rsidRPr="00916287">
        <w:rPr>
          <w:rFonts w:ascii="標楷體" w:eastAsia="標楷體" w:hAnsi="標楷體" w:hint="eastAsia"/>
          <w:color w:val="000000"/>
          <w:sz w:val="24"/>
          <w:szCs w:val="24"/>
        </w:rPr>
        <w:t>生物資產</w:t>
      </w:r>
      <w:r w:rsidRPr="00916287">
        <w:rPr>
          <w:rFonts w:ascii="標楷體" w:eastAsia="標楷體" w:hAnsi="標楷體" w:hint="eastAsia"/>
          <w:color w:val="000000"/>
          <w:sz w:val="24"/>
          <w:szCs w:val="24"/>
          <w:lang w:eastAsia="zh-TW"/>
        </w:rPr>
        <w:t>」</w:t>
      </w:r>
      <w:r w:rsidRPr="00916287">
        <w:rPr>
          <w:rFonts w:eastAsia="標楷體" w:hint="eastAsia"/>
          <w:color w:val="000000"/>
          <w:sz w:val="24"/>
          <w:szCs w:val="24"/>
          <w:lang w:eastAsia="zh-TW"/>
        </w:rPr>
        <w:t>之累計減損，請</w:t>
      </w:r>
      <w:r w:rsidR="00217161" w:rsidRPr="00916287">
        <w:rPr>
          <w:rFonts w:eastAsia="標楷體" w:hint="eastAsia"/>
          <w:color w:val="000000"/>
          <w:sz w:val="24"/>
          <w:szCs w:val="24"/>
          <w:lang w:eastAsia="zh-TW"/>
        </w:rPr>
        <w:t>彙總</w:t>
      </w:r>
      <w:r w:rsidR="00E04636" w:rsidRPr="00916287">
        <w:rPr>
          <w:rFonts w:eastAsia="標楷體" w:hint="eastAsia"/>
          <w:color w:val="000000"/>
          <w:sz w:val="24"/>
          <w:szCs w:val="24"/>
        </w:rPr>
        <w:t>填列</w:t>
      </w:r>
      <w:r w:rsidRPr="00916287">
        <w:rPr>
          <w:rFonts w:ascii="標楷體" w:eastAsia="標楷體" w:hAnsi="標楷體" w:hint="eastAsia"/>
          <w:color w:val="000000"/>
          <w:sz w:val="24"/>
          <w:szCs w:val="24"/>
        </w:rPr>
        <w:t>於</w:t>
      </w:r>
      <w:r w:rsidRPr="00916287">
        <w:rPr>
          <w:rFonts w:ascii="標楷體" w:eastAsia="標楷體" w:hAnsi="標楷體" w:hint="eastAsia"/>
          <w:color w:val="000000"/>
          <w:sz w:val="24"/>
          <w:szCs w:val="24"/>
          <w:lang w:eastAsia="zh-TW"/>
        </w:rPr>
        <w:t>「1553減：累計減損」。</w:t>
      </w:r>
      <w:r w:rsidR="00F67258" w:rsidRPr="00916287">
        <w:rPr>
          <w:rFonts w:ascii="標楷體" w:eastAsia="標楷體" w:hAnsi="標楷體"/>
          <w:color w:val="000000"/>
          <w:sz w:val="24"/>
          <w:szCs w:val="24"/>
          <w:lang w:val="en-US" w:eastAsia="zh-TW"/>
        </w:rPr>
        <w:t>「1551生物資產」如有重分類至流動資產</w:t>
      </w:r>
      <w:r w:rsidR="00F67258" w:rsidRPr="00916287">
        <w:rPr>
          <w:rFonts w:ascii="標楷體" w:eastAsia="標楷體" w:hAnsi="標楷體" w:hint="eastAsia"/>
          <w:color w:val="000000"/>
          <w:sz w:val="24"/>
          <w:szCs w:val="24"/>
          <w:lang w:val="en-US" w:eastAsia="zh-TW"/>
        </w:rPr>
        <w:t>者</w:t>
      </w:r>
      <w:r w:rsidR="00F67258" w:rsidRPr="00916287">
        <w:rPr>
          <w:rFonts w:ascii="標楷體" w:eastAsia="標楷體" w:hAnsi="標楷體"/>
          <w:color w:val="000000"/>
          <w:sz w:val="24"/>
          <w:szCs w:val="24"/>
          <w:lang w:val="en-US" w:eastAsia="zh-TW"/>
        </w:rPr>
        <w:t>，請填寫於「1199其他流動資產-其他」。</w:t>
      </w:r>
    </w:p>
    <w:p w:rsidR="009F2D69" w:rsidRPr="00916287" w:rsidRDefault="00B53441" w:rsidP="009F2D69">
      <w:pPr>
        <w:pStyle w:val="Web"/>
        <w:spacing w:after="0"/>
        <w:ind w:left="566" w:hangingChars="236" w:hanging="566"/>
        <w:rPr>
          <w:rFonts w:ascii="標楷體" w:eastAsia="標楷體" w:hAnsi="標楷體"/>
          <w:color w:val="000000"/>
        </w:rPr>
      </w:pPr>
      <w:r w:rsidRPr="00916287">
        <w:rPr>
          <w:rFonts w:ascii="標楷體" w:eastAsia="標楷體" w:hAnsi="標楷體" w:hint="eastAsia"/>
          <w:color w:val="000000"/>
        </w:rPr>
        <w:t>六</w:t>
      </w:r>
      <w:r w:rsidR="009F2D69" w:rsidRPr="00916287">
        <w:rPr>
          <w:rFonts w:ascii="標楷體" w:eastAsia="標楷體" w:hAnsi="標楷體" w:hint="eastAsia"/>
          <w:color w:val="000000"/>
        </w:rPr>
        <w:t>、「3434</w:t>
      </w:r>
      <w:r w:rsidR="00F87009" w:rsidRPr="00916287">
        <w:rPr>
          <w:rFonts w:ascii="標楷體" w:eastAsia="標楷體" w:hAnsi="標楷體" w:hint="eastAsia"/>
          <w:color w:val="000000"/>
        </w:rPr>
        <w:t>追溯適用及追溯重編之影響數</w:t>
      </w:r>
      <w:r w:rsidR="009F2D69" w:rsidRPr="00916287">
        <w:rPr>
          <w:rFonts w:ascii="標楷體" w:eastAsia="標楷體" w:hAnsi="標楷體" w:hint="eastAsia"/>
          <w:color w:val="000000"/>
        </w:rPr>
        <w:t>」，係指營利事業首次適用國際財務報導準則</w:t>
      </w:r>
      <w:r w:rsidR="00081600" w:rsidRPr="00916287">
        <w:rPr>
          <w:rFonts w:ascii="標楷體" w:eastAsia="標楷體" w:hAnsi="標楷體" w:hint="eastAsia"/>
          <w:color w:val="000000"/>
        </w:rPr>
        <w:t>或企業會計準則公報</w:t>
      </w:r>
      <w:r w:rsidR="00197F03" w:rsidRPr="00916287">
        <w:rPr>
          <w:rFonts w:ascii="標楷體" w:eastAsia="標楷體" w:hAnsi="標楷體" w:hint="eastAsia"/>
          <w:color w:val="000000"/>
        </w:rPr>
        <w:t>，</w:t>
      </w:r>
      <w:r w:rsidR="00081600" w:rsidRPr="00916287">
        <w:rPr>
          <w:rFonts w:ascii="標楷體" w:eastAsia="標楷體" w:hAnsi="標楷體" w:hint="eastAsia"/>
          <w:color w:val="000000"/>
        </w:rPr>
        <w:t>或因國際財務報導準則版本差異</w:t>
      </w:r>
      <w:r w:rsidR="00F87009" w:rsidRPr="00916287">
        <w:rPr>
          <w:rFonts w:ascii="標楷體" w:eastAsia="標楷體" w:hAnsi="標楷體" w:hint="eastAsia"/>
          <w:color w:val="000000"/>
        </w:rPr>
        <w:t>，</w:t>
      </w:r>
      <w:r w:rsidR="009F2D69" w:rsidRPr="00916287">
        <w:rPr>
          <w:rFonts w:ascii="標楷體" w:eastAsia="標楷體" w:hAnsi="標楷體" w:hint="eastAsia"/>
          <w:color w:val="000000"/>
        </w:rPr>
        <w:t>依相關準則規定追溯調整之影響數，於</w:t>
      </w:r>
      <w:r w:rsidR="00F7120B" w:rsidRPr="00916287">
        <w:rPr>
          <w:rFonts w:ascii="標楷體" w:eastAsia="標楷體" w:hAnsi="標楷體" w:hint="eastAsia"/>
          <w:color w:val="000000"/>
        </w:rPr>
        <w:t>10</w:t>
      </w:r>
      <w:r w:rsidR="00B364AF" w:rsidRPr="00916287">
        <w:rPr>
          <w:rFonts w:ascii="標楷體" w:eastAsia="標楷體" w:hAnsi="標楷體" w:hint="eastAsia"/>
          <w:color w:val="000000"/>
        </w:rPr>
        <w:t>6</w:t>
      </w:r>
      <w:r w:rsidR="009F2D69" w:rsidRPr="00916287">
        <w:rPr>
          <w:rFonts w:ascii="標楷體" w:eastAsia="標楷體" w:hAnsi="標楷體" w:hint="eastAsia"/>
          <w:color w:val="000000"/>
        </w:rPr>
        <w:t>年1月1日調整至保留盈餘之淨額(如為減項請加負號-)。</w:t>
      </w:r>
      <w:r w:rsidR="00F7120B" w:rsidRPr="00916287">
        <w:rPr>
          <w:rFonts w:ascii="標楷體" w:eastAsia="標楷體" w:hAnsi="標楷體" w:hint="eastAsia"/>
          <w:color w:val="000000"/>
        </w:rPr>
        <w:t>10</w:t>
      </w:r>
      <w:r w:rsidR="00B364AF" w:rsidRPr="00916287">
        <w:rPr>
          <w:rFonts w:ascii="標楷體" w:eastAsia="標楷體" w:hAnsi="標楷體"/>
          <w:color w:val="000000"/>
        </w:rPr>
        <w:t>5</w:t>
      </w:r>
      <w:r w:rsidR="009F2D69" w:rsidRPr="00916287">
        <w:rPr>
          <w:rFonts w:ascii="標楷體" w:eastAsia="標楷體" w:hAnsi="標楷體" w:hint="eastAsia"/>
          <w:color w:val="000000"/>
        </w:rPr>
        <w:t>年度首次採用國際財務報導準則</w:t>
      </w:r>
      <w:r w:rsidR="00081600" w:rsidRPr="00916287">
        <w:rPr>
          <w:rFonts w:ascii="標楷體" w:eastAsia="標楷體" w:hAnsi="標楷體" w:hint="eastAsia"/>
          <w:color w:val="000000"/>
        </w:rPr>
        <w:t>或企業會計準則公報</w:t>
      </w:r>
      <w:r w:rsidR="00197F03" w:rsidRPr="00916287">
        <w:rPr>
          <w:rFonts w:ascii="標楷體" w:eastAsia="標楷體" w:hAnsi="標楷體" w:hint="eastAsia"/>
          <w:color w:val="000000"/>
        </w:rPr>
        <w:t>，</w:t>
      </w:r>
      <w:r w:rsidR="00081600" w:rsidRPr="00916287">
        <w:rPr>
          <w:rFonts w:ascii="標楷體" w:eastAsia="標楷體" w:hAnsi="標楷體" w:hint="eastAsia"/>
          <w:color w:val="000000"/>
        </w:rPr>
        <w:t>或因國際財務報導準則版本差異</w:t>
      </w:r>
      <w:r w:rsidR="00F87009" w:rsidRPr="00916287">
        <w:rPr>
          <w:rFonts w:ascii="標楷體" w:eastAsia="標楷體" w:hAnsi="標楷體" w:hint="eastAsia"/>
          <w:color w:val="000000"/>
        </w:rPr>
        <w:t>追溯</w:t>
      </w:r>
      <w:r w:rsidR="009F2D69" w:rsidRPr="00916287">
        <w:rPr>
          <w:rFonts w:ascii="標楷體" w:eastAsia="標楷體" w:hAnsi="標楷體" w:hint="eastAsia"/>
          <w:color w:val="000000"/>
        </w:rPr>
        <w:t>調整</w:t>
      </w:r>
      <w:r w:rsidR="00F87009" w:rsidRPr="00916287">
        <w:rPr>
          <w:rFonts w:ascii="標楷體" w:eastAsia="標楷體" w:hAnsi="標楷體" w:hint="eastAsia"/>
          <w:color w:val="000000"/>
        </w:rPr>
        <w:t>之影響</w:t>
      </w:r>
      <w:r w:rsidR="009F2D69" w:rsidRPr="00916287">
        <w:rPr>
          <w:rFonts w:ascii="標楷體" w:eastAsia="標楷體" w:hAnsi="標楷體" w:hint="eastAsia"/>
          <w:color w:val="000000"/>
        </w:rPr>
        <w:t>數，應</w:t>
      </w:r>
      <w:r w:rsidR="00853D62" w:rsidRPr="00916287">
        <w:rPr>
          <w:rFonts w:ascii="標楷體" w:eastAsia="標楷體" w:hAnsi="標楷體" w:hint="eastAsia"/>
          <w:color w:val="000000"/>
        </w:rPr>
        <w:t>分別</w:t>
      </w:r>
      <w:r w:rsidR="009F2D69" w:rsidRPr="00916287">
        <w:rPr>
          <w:rFonts w:ascii="標楷體" w:eastAsia="標楷體" w:hAnsi="標楷體" w:hint="eastAsia"/>
          <w:color w:val="000000"/>
        </w:rPr>
        <w:t>與</w:t>
      </w:r>
      <w:r w:rsidR="00F023EA" w:rsidRPr="00916287">
        <w:rPr>
          <w:rFonts w:ascii="標楷體" w:eastAsia="標楷體" w:hAnsi="標楷體" w:hint="eastAsia"/>
          <w:color w:val="000000"/>
        </w:rPr>
        <w:t>「</w:t>
      </w:r>
      <w:r w:rsidR="009F2D69" w:rsidRPr="00916287">
        <w:rPr>
          <w:rFonts w:ascii="標楷體" w:eastAsia="標楷體" w:hAnsi="標楷體" w:hint="eastAsia"/>
          <w:color w:val="000000"/>
        </w:rPr>
        <w:t>3431</w:t>
      </w:r>
      <w:r w:rsidR="00F023EA" w:rsidRPr="00916287">
        <w:rPr>
          <w:rFonts w:ascii="標楷體" w:eastAsia="標楷體" w:hAnsi="標楷體" w:hint="eastAsia"/>
          <w:color w:val="000000"/>
        </w:rPr>
        <w:t>累積盈虧(86年度以前餘額) 」</w:t>
      </w:r>
      <w:r w:rsidR="009F2D69" w:rsidRPr="00916287">
        <w:rPr>
          <w:rFonts w:ascii="標楷體" w:eastAsia="標楷體" w:hAnsi="標楷體" w:hint="eastAsia"/>
          <w:color w:val="000000"/>
        </w:rPr>
        <w:t>、</w:t>
      </w:r>
      <w:r w:rsidR="00F023EA" w:rsidRPr="00916287">
        <w:rPr>
          <w:rFonts w:ascii="標楷體" w:eastAsia="標楷體" w:hAnsi="標楷體" w:hint="eastAsia"/>
          <w:color w:val="000000"/>
        </w:rPr>
        <w:t>「</w:t>
      </w:r>
      <w:r w:rsidR="009F2D69" w:rsidRPr="00916287">
        <w:rPr>
          <w:rFonts w:ascii="標楷體" w:eastAsia="標楷體" w:hAnsi="標楷體" w:hint="eastAsia"/>
          <w:color w:val="000000"/>
        </w:rPr>
        <w:t>3432</w:t>
      </w:r>
      <w:r w:rsidR="00F023EA" w:rsidRPr="00916287">
        <w:rPr>
          <w:rFonts w:ascii="標楷體" w:eastAsia="標楷體" w:hAnsi="標楷體" w:hint="eastAsia"/>
          <w:color w:val="000000"/>
        </w:rPr>
        <w:t>累積盈虧(87至98年度餘額) 」</w:t>
      </w:r>
      <w:r w:rsidR="00A239FD" w:rsidRPr="00916287">
        <w:rPr>
          <w:rFonts w:ascii="標楷體" w:eastAsia="標楷體" w:hAnsi="標楷體" w:hint="eastAsia"/>
          <w:color w:val="000000"/>
        </w:rPr>
        <w:t>或</w:t>
      </w:r>
      <w:r w:rsidR="00F023EA" w:rsidRPr="00916287">
        <w:rPr>
          <w:rFonts w:ascii="標楷體" w:eastAsia="標楷體" w:hAnsi="標楷體" w:hint="eastAsia"/>
          <w:color w:val="000000"/>
        </w:rPr>
        <w:t>「</w:t>
      </w:r>
      <w:r w:rsidR="009F2D69" w:rsidRPr="00916287">
        <w:rPr>
          <w:rFonts w:ascii="標楷體" w:eastAsia="標楷體" w:hAnsi="標楷體" w:hint="eastAsia"/>
          <w:color w:val="000000"/>
        </w:rPr>
        <w:t>3433</w:t>
      </w:r>
      <w:r w:rsidR="00F023EA" w:rsidRPr="00916287">
        <w:rPr>
          <w:rFonts w:ascii="標楷體" w:eastAsia="標楷體" w:hAnsi="標楷體" w:hint="eastAsia"/>
          <w:color w:val="000000"/>
        </w:rPr>
        <w:t>累積盈虧(99年度以後餘額)」</w:t>
      </w:r>
      <w:r w:rsidR="00853D62" w:rsidRPr="00916287">
        <w:rPr>
          <w:rFonts w:ascii="標楷體" w:eastAsia="標楷體" w:hAnsi="標楷體" w:hint="eastAsia"/>
          <w:color w:val="000000"/>
        </w:rPr>
        <w:t>計算</w:t>
      </w:r>
      <w:r w:rsidR="009F2D69" w:rsidRPr="00916287">
        <w:rPr>
          <w:rFonts w:ascii="標楷體" w:eastAsia="標楷體" w:hAnsi="標楷體" w:hint="eastAsia"/>
          <w:color w:val="000000"/>
        </w:rPr>
        <w:t>填報。</w:t>
      </w:r>
    </w:p>
    <w:p w:rsidR="009F2D69" w:rsidRPr="00916287" w:rsidRDefault="00B53441" w:rsidP="009F2D69">
      <w:pPr>
        <w:pStyle w:val="Web"/>
        <w:spacing w:after="0"/>
        <w:ind w:left="566" w:hangingChars="236" w:hanging="566"/>
        <w:rPr>
          <w:rFonts w:ascii="標楷體" w:eastAsia="標楷體" w:hAnsi="標楷體"/>
          <w:color w:val="000000"/>
        </w:rPr>
      </w:pPr>
      <w:r w:rsidRPr="00916287">
        <w:rPr>
          <w:rFonts w:ascii="標楷體" w:eastAsia="標楷體" w:hAnsi="標楷體" w:hint="eastAsia"/>
          <w:color w:val="000000"/>
        </w:rPr>
        <w:t>七</w:t>
      </w:r>
      <w:r w:rsidR="009F2D69" w:rsidRPr="00916287">
        <w:rPr>
          <w:rFonts w:ascii="標楷體" w:eastAsia="標楷體" w:hAnsi="標楷體" w:hint="eastAsia"/>
          <w:color w:val="000000"/>
        </w:rPr>
        <w:t>、「3435本年度其他綜合損益轉入之稅後淨額」，係指依</w:t>
      </w:r>
      <w:r w:rsidR="00197F03" w:rsidRPr="00916287">
        <w:rPr>
          <w:rFonts w:ascii="標楷體" w:eastAsia="標楷體" w:hAnsi="標楷體" w:hint="eastAsia"/>
          <w:color w:val="000000"/>
        </w:rPr>
        <w:t>商業會計法、</w:t>
      </w:r>
      <w:r w:rsidR="009F2D69" w:rsidRPr="00916287">
        <w:rPr>
          <w:rFonts w:ascii="標楷體" w:eastAsia="標楷體" w:hAnsi="標楷體" w:hint="eastAsia"/>
          <w:color w:val="000000"/>
        </w:rPr>
        <w:t>證券交易法或保險法有關編製財務報告規定處理之本期稅後淨利以外</w:t>
      </w:r>
      <w:r w:rsidR="00866CF8" w:rsidRPr="00916287">
        <w:rPr>
          <w:rFonts w:ascii="標楷體" w:eastAsia="標楷體" w:hAnsi="標楷體" w:hint="eastAsia"/>
          <w:color w:val="000000"/>
        </w:rPr>
        <w:t>其他綜合損益</w:t>
      </w:r>
      <w:r w:rsidR="009F2D69" w:rsidRPr="00916287">
        <w:rPr>
          <w:rFonts w:ascii="標楷體" w:eastAsia="標楷體" w:hAnsi="標楷體" w:hint="eastAsia"/>
          <w:color w:val="000000"/>
        </w:rPr>
        <w:t>項目</w:t>
      </w:r>
      <w:r w:rsidR="00862FCD" w:rsidRPr="00916287">
        <w:rPr>
          <w:rFonts w:ascii="標楷體" w:eastAsia="標楷體" w:hAnsi="標楷體" w:hint="eastAsia"/>
          <w:color w:val="000000"/>
        </w:rPr>
        <w:t>轉入當年度</w:t>
      </w:r>
      <w:r w:rsidR="009F2D69" w:rsidRPr="00916287">
        <w:rPr>
          <w:rFonts w:ascii="標楷體" w:eastAsia="標楷體" w:hAnsi="標楷體" w:hint="eastAsia"/>
          <w:color w:val="000000"/>
        </w:rPr>
        <w:t>未分配盈餘之稅後淨額。</w:t>
      </w:r>
    </w:p>
    <w:p w:rsidR="00F23EAF" w:rsidRPr="00916287" w:rsidRDefault="001B7714" w:rsidP="001B7714">
      <w:pPr>
        <w:spacing w:before="50" w:line="340" w:lineRule="exact"/>
        <w:ind w:left="480" w:hangingChars="200" w:hanging="480"/>
        <w:rPr>
          <w:rFonts w:ascii="標楷體" w:eastAsia="標楷體" w:hAnsi="標楷體" w:cs="新細明體"/>
          <w:color w:val="000000"/>
          <w:kern w:val="0"/>
        </w:rPr>
      </w:pPr>
      <w:r w:rsidRPr="00916287">
        <w:rPr>
          <w:rFonts w:ascii="標楷體" w:eastAsia="標楷體" w:hAnsi="標楷體" w:cs="新細明體" w:hint="eastAsia"/>
          <w:color w:val="000000"/>
          <w:kern w:val="0"/>
        </w:rPr>
        <w:t>八、本年度資產負債表有第1400</w:t>
      </w:r>
      <w:r w:rsidR="003D334D" w:rsidRPr="00916287">
        <w:rPr>
          <w:rFonts w:ascii="標楷體" w:eastAsia="標楷體" w:hAnsi="標楷體" w:cs="新細明體" w:hint="eastAsia"/>
          <w:color w:val="000000"/>
          <w:kern w:val="0"/>
        </w:rPr>
        <w:t>欄「不動產、廠房及設備</w:t>
      </w:r>
      <w:r w:rsidR="006E02A2" w:rsidRPr="00916287">
        <w:rPr>
          <w:rFonts w:ascii="標楷體" w:eastAsia="標楷體" w:hAnsi="標楷體" w:cs="新細明體" w:hint="eastAsia"/>
          <w:color w:val="000000"/>
          <w:kern w:val="0"/>
        </w:rPr>
        <w:t>(固定資產)</w:t>
      </w:r>
      <w:r w:rsidRPr="00916287">
        <w:rPr>
          <w:rFonts w:ascii="標楷體" w:eastAsia="標楷體" w:hAnsi="標楷體" w:cs="新細明體" w:hint="eastAsia"/>
          <w:color w:val="000000"/>
          <w:kern w:val="0"/>
        </w:rPr>
        <w:t>」</w:t>
      </w:r>
      <w:bookmarkStart w:id="0" w:name="_GoBack"/>
      <w:bookmarkEnd w:id="0"/>
      <w:r w:rsidRPr="00916287">
        <w:rPr>
          <w:rFonts w:ascii="標楷體" w:eastAsia="標楷體" w:hAnsi="標楷體" w:cs="新細明體" w:hint="eastAsia"/>
          <w:color w:val="000000"/>
          <w:kern w:val="0"/>
        </w:rPr>
        <w:t>、第1541欄「投資性不動產」、第1421欄「礦產資源」、第1551欄「生物資產」或第1510欄「無形資產」者，應於結算申報時提出財產目錄，該目錄得採附件方式申報，或至各地區國稅局網站下載第C3頁財產目錄電子檔案，依式填寫後併同申報。</w:t>
      </w: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9F2D69" w:rsidRPr="00916287" w:rsidRDefault="009F2D69" w:rsidP="00F23EAF">
      <w:pPr>
        <w:spacing w:before="50" w:line="340" w:lineRule="exact"/>
        <w:rPr>
          <w:rFonts w:eastAsia="標楷體"/>
          <w:color w:val="000000"/>
        </w:rPr>
      </w:pPr>
    </w:p>
    <w:p w:rsidR="009F2D69" w:rsidRPr="00916287" w:rsidRDefault="009F2D69" w:rsidP="00F23EAF">
      <w:pPr>
        <w:spacing w:before="50" w:line="340" w:lineRule="exact"/>
        <w:rPr>
          <w:rFonts w:eastAsia="標楷體"/>
          <w:color w:val="000000"/>
        </w:rPr>
      </w:pPr>
    </w:p>
    <w:p w:rsidR="009F2D69" w:rsidRPr="00916287" w:rsidRDefault="009F2D69" w:rsidP="00F23EAF">
      <w:pPr>
        <w:spacing w:before="50" w:line="340" w:lineRule="exact"/>
        <w:rPr>
          <w:rFonts w:eastAsia="標楷體"/>
          <w:color w:val="000000"/>
        </w:rPr>
      </w:pPr>
    </w:p>
    <w:p w:rsidR="00F23EAF" w:rsidRPr="00916287" w:rsidRDefault="00F23EAF" w:rsidP="00F23EAF">
      <w:pPr>
        <w:spacing w:before="50" w:line="340" w:lineRule="exact"/>
        <w:rPr>
          <w:rFonts w:eastAsia="標楷體"/>
          <w:color w:val="000000"/>
        </w:rPr>
      </w:pPr>
    </w:p>
    <w:p w:rsidR="00F23EAF" w:rsidRPr="00916287" w:rsidRDefault="00F23EAF" w:rsidP="00F23EAF">
      <w:pPr>
        <w:spacing w:before="50" w:line="340" w:lineRule="exact"/>
        <w:rPr>
          <w:rFonts w:ascii="標楷體" w:eastAsia="標楷體" w:hAnsi="標楷體"/>
          <w:color w:val="000000"/>
        </w:rPr>
      </w:pPr>
    </w:p>
    <w:p w:rsidR="00473823" w:rsidRPr="00916287" w:rsidRDefault="00473823" w:rsidP="00F23EAF">
      <w:pPr>
        <w:spacing w:before="50" w:line="340" w:lineRule="exact"/>
        <w:rPr>
          <w:rFonts w:ascii="標楷體" w:eastAsia="標楷體" w:hAnsi="標楷體"/>
          <w:color w:val="000000"/>
        </w:rPr>
      </w:pPr>
    </w:p>
    <w:p w:rsidR="00473823" w:rsidRPr="00916287" w:rsidRDefault="00473823" w:rsidP="00F23EAF">
      <w:pPr>
        <w:spacing w:before="50" w:line="340" w:lineRule="exact"/>
        <w:rPr>
          <w:rFonts w:ascii="標楷體" w:eastAsia="標楷體" w:hAnsi="標楷體"/>
          <w:color w:val="000000"/>
        </w:rPr>
      </w:pPr>
    </w:p>
    <w:p w:rsidR="001B7714" w:rsidRPr="00916287" w:rsidRDefault="001B7714" w:rsidP="00F23EAF">
      <w:pPr>
        <w:spacing w:before="50" w:line="340" w:lineRule="exact"/>
        <w:rPr>
          <w:rFonts w:ascii="標楷體" w:eastAsia="標楷體" w:hAnsi="標楷體"/>
          <w:color w:val="000000"/>
        </w:rPr>
      </w:pPr>
    </w:p>
    <w:p w:rsidR="00D63125" w:rsidRPr="00916287" w:rsidRDefault="00D63125">
      <w:pPr>
        <w:spacing w:before="50" w:line="220" w:lineRule="exact"/>
        <w:jc w:val="center"/>
        <w:rPr>
          <w:rFonts w:ascii="標楷體" w:eastAsia="標楷體" w:hAnsi="標楷體"/>
          <w:color w:val="000000"/>
        </w:rPr>
      </w:pPr>
      <w:r w:rsidRPr="00916287">
        <w:rPr>
          <w:rFonts w:ascii="標楷體" w:eastAsia="標楷體" w:hAnsi="標楷體" w:hint="eastAsia"/>
          <w:color w:val="000000"/>
        </w:rPr>
        <w:t>（第</w:t>
      </w:r>
      <w:r w:rsidR="00F53120" w:rsidRPr="00916287">
        <w:rPr>
          <w:rFonts w:ascii="標楷體" w:eastAsia="標楷體" w:hAnsi="標楷體" w:hint="eastAsia"/>
          <w:color w:val="000000"/>
        </w:rPr>
        <w:t>3</w:t>
      </w:r>
      <w:r w:rsidRPr="00916287">
        <w:rPr>
          <w:rFonts w:ascii="標楷體" w:eastAsia="標楷體" w:hAnsi="標楷體" w:hint="eastAsia"/>
          <w:color w:val="000000"/>
        </w:rPr>
        <w:t>頁背面）</w:t>
      </w:r>
    </w:p>
    <w:sectPr w:rsidR="00D63125" w:rsidRPr="00916287" w:rsidSect="00DF44B9">
      <w:pgSz w:w="16840" w:h="23814" w:code="8"/>
      <w:pgMar w:top="1701" w:right="1191" w:bottom="357" w:left="1701" w:header="851" w:footer="85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68F" w:rsidRDefault="0056268F" w:rsidP="00D63125">
      <w:r>
        <w:separator/>
      </w:r>
    </w:p>
  </w:endnote>
  <w:endnote w:type="continuationSeparator" w:id="0">
    <w:p w:rsidR="0056268F" w:rsidRDefault="0056268F" w:rsidP="00D6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68F" w:rsidRDefault="0056268F" w:rsidP="00D63125">
      <w:r>
        <w:separator/>
      </w:r>
    </w:p>
  </w:footnote>
  <w:footnote w:type="continuationSeparator" w:id="0">
    <w:p w:rsidR="0056268F" w:rsidRDefault="0056268F" w:rsidP="00D631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49497B"/>
    <w:multiLevelType w:val="hybridMultilevel"/>
    <w:tmpl w:val="7AE2905E"/>
    <w:lvl w:ilvl="0" w:tplc="C70A6B1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74257816"/>
    <w:multiLevelType w:val="hybridMultilevel"/>
    <w:tmpl w:val="1DEAF08E"/>
    <w:lvl w:ilvl="0" w:tplc="B6BCEF4A">
      <w:start w:val="1"/>
      <w:numFmt w:val="taiwaneseCountingThousand"/>
      <w:lvlText w:val="%1、"/>
      <w:lvlJc w:val="left"/>
      <w:pPr>
        <w:tabs>
          <w:tab w:val="num" w:pos="450"/>
        </w:tabs>
        <w:ind w:left="450" w:hanging="450"/>
      </w:pPr>
      <w:rPr>
        <w:rFonts w:hint="eastAsia"/>
      </w:rPr>
    </w:lvl>
    <w:lvl w:ilvl="1" w:tplc="249A8E50">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7D7959AF"/>
    <w:multiLevelType w:val="hybridMultilevel"/>
    <w:tmpl w:val="F976BA0A"/>
    <w:lvl w:ilvl="0" w:tplc="B2AC17DE">
      <w:start w:val="1"/>
      <w:numFmt w:val="decimal"/>
      <w:lvlText w:val="(%1)"/>
      <w:lvlJc w:val="left"/>
      <w:pPr>
        <w:tabs>
          <w:tab w:val="num" w:pos="1005"/>
        </w:tabs>
        <w:ind w:left="1005" w:hanging="360"/>
      </w:pPr>
      <w:rPr>
        <w:rFonts w:hint="eastAsia"/>
      </w:rPr>
    </w:lvl>
    <w:lvl w:ilvl="1" w:tplc="04090019" w:tentative="1">
      <w:start w:val="1"/>
      <w:numFmt w:val="ideographTraditional"/>
      <w:lvlText w:val="%2、"/>
      <w:lvlJc w:val="left"/>
      <w:pPr>
        <w:tabs>
          <w:tab w:val="num" w:pos="1605"/>
        </w:tabs>
        <w:ind w:left="1605" w:hanging="480"/>
      </w:pPr>
    </w:lvl>
    <w:lvl w:ilvl="2" w:tplc="0409001B" w:tentative="1">
      <w:start w:val="1"/>
      <w:numFmt w:val="lowerRoman"/>
      <w:lvlText w:val="%3."/>
      <w:lvlJc w:val="right"/>
      <w:pPr>
        <w:tabs>
          <w:tab w:val="num" w:pos="2085"/>
        </w:tabs>
        <w:ind w:left="2085" w:hanging="480"/>
      </w:pPr>
    </w:lvl>
    <w:lvl w:ilvl="3" w:tplc="0409000F" w:tentative="1">
      <w:start w:val="1"/>
      <w:numFmt w:val="decimal"/>
      <w:lvlText w:val="%4."/>
      <w:lvlJc w:val="left"/>
      <w:pPr>
        <w:tabs>
          <w:tab w:val="num" w:pos="2565"/>
        </w:tabs>
        <w:ind w:left="2565" w:hanging="480"/>
      </w:pPr>
    </w:lvl>
    <w:lvl w:ilvl="4" w:tplc="04090019" w:tentative="1">
      <w:start w:val="1"/>
      <w:numFmt w:val="ideographTraditional"/>
      <w:lvlText w:val="%5、"/>
      <w:lvlJc w:val="left"/>
      <w:pPr>
        <w:tabs>
          <w:tab w:val="num" w:pos="3045"/>
        </w:tabs>
        <w:ind w:left="3045" w:hanging="480"/>
      </w:pPr>
    </w:lvl>
    <w:lvl w:ilvl="5" w:tplc="0409001B" w:tentative="1">
      <w:start w:val="1"/>
      <w:numFmt w:val="lowerRoman"/>
      <w:lvlText w:val="%6."/>
      <w:lvlJc w:val="right"/>
      <w:pPr>
        <w:tabs>
          <w:tab w:val="num" w:pos="3525"/>
        </w:tabs>
        <w:ind w:left="3525" w:hanging="480"/>
      </w:pPr>
    </w:lvl>
    <w:lvl w:ilvl="6" w:tplc="0409000F" w:tentative="1">
      <w:start w:val="1"/>
      <w:numFmt w:val="decimal"/>
      <w:lvlText w:val="%7."/>
      <w:lvlJc w:val="left"/>
      <w:pPr>
        <w:tabs>
          <w:tab w:val="num" w:pos="4005"/>
        </w:tabs>
        <w:ind w:left="4005" w:hanging="480"/>
      </w:pPr>
    </w:lvl>
    <w:lvl w:ilvl="7" w:tplc="04090019" w:tentative="1">
      <w:start w:val="1"/>
      <w:numFmt w:val="ideographTraditional"/>
      <w:lvlText w:val="%8、"/>
      <w:lvlJc w:val="left"/>
      <w:pPr>
        <w:tabs>
          <w:tab w:val="num" w:pos="4485"/>
        </w:tabs>
        <w:ind w:left="4485" w:hanging="480"/>
      </w:pPr>
    </w:lvl>
    <w:lvl w:ilvl="8" w:tplc="0409001B" w:tentative="1">
      <w:start w:val="1"/>
      <w:numFmt w:val="lowerRoman"/>
      <w:lvlText w:val="%9."/>
      <w:lvlJc w:val="right"/>
      <w:pPr>
        <w:tabs>
          <w:tab w:val="num" w:pos="4965"/>
        </w:tabs>
        <w:ind w:left="4965"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oNotTrackMoves/>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01E2"/>
    <w:rsid w:val="00036BCC"/>
    <w:rsid w:val="00037BAE"/>
    <w:rsid w:val="00060756"/>
    <w:rsid w:val="00064008"/>
    <w:rsid w:val="00081600"/>
    <w:rsid w:val="000925FE"/>
    <w:rsid w:val="000A0C20"/>
    <w:rsid w:val="00107E42"/>
    <w:rsid w:val="00197F03"/>
    <w:rsid w:val="001A4433"/>
    <w:rsid w:val="001B7714"/>
    <w:rsid w:val="001E3D51"/>
    <w:rsid w:val="001E6D9E"/>
    <w:rsid w:val="001F206A"/>
    <w:rsid w:val="001F2B9B"/>
    <w:rsid w:val="00217161"/>
    <w:rsid w:val="00231289"/>
    <w:rsid w:val="00237361"/>
    <w:rsid w:val="0024713B"/>
    <w:rsid w:val="0025194C"/>
    <w:rsid w:val="002543EA"/>
    <w:rsid w:val="00260751"/>
    <w:rsid w:val="002771C5"/>
    <w:rsid w:val="00294E2C"/>
    <w:rsid w:val="002A3069"/>
    <w:rsid w:val="002F4A04"/>
    <w:rsid w:val="00336BCA"/>
    <w:rsid w:val="003618AF"/>
    <w:rsid w:val="00394051"/>
    <w:rsid w:val="003C3AAA"/>
    <w:rsid w:val="003D26D0"/>
    <w:rsid w:val="003D334D"/>
    <w:rsid w:val="003D6FC2"/>
    <w:rsid w:val="003E4B76"/>
    <w:rsid w:val="003E632B"/>
    <w:rsid w:val="003F6851"/>
    <w:rsid w:val="00473823"/>
    <w:rsid w:val="004946B5"/>
    <w:rsid w:val="004951CB"/>
    <w:rsid w:val="0052329B"/>
    <w:rsid w:val="00530C22"/>
    <w:rsid w:val="0053727F"/>
    <w:rsid w:val="0056268F"/>
    <w:rsid w:val="00563E66"/>
    <w:rsid w:val="00571508"/>
    <w:rsid w:val="00590FDA"/>
    <w:rsid w:val="005A2706"/>
    <w:rsid w:val="005C4399"/>
    <w:rsid w:val="005C7C69"/>
    <w:rsid w:val="005E72D2"/>
    <w:rsid w:val="005F2003"/>
    <w:rsid w:val="0065271C"/>
    <w:rsid w:val="006659AE"/>
    <w:rsid w:val="006A4D89"/>
    <w:rsid w:val="006E02A2"/>
    <w:rsid w:val="00764A39"/>
    <w:rsid w:val="007C3662"/>
    <w:rsid w:val="00853D62"/>
    <w:rsid w:val="00862FCD"/>
    <w:rsid w:val="00866CF8"/>
    <w:rsid w:val="008A5C6C"/>
    <w:rsid w:val="008E37FB"/>
    <w:rsid w:val="00902DB1"/>
    <w:rsid w:val="00914647"/>
    <w:rsid w:val="00916287"/>
    <w:rsid w:val="00942482"/>
    <w:rsid w:val="009A1A5B"/>
    <w:rsid w:val="009B6761"/>
    <w:rsid w:val="009E2A24"/>
    <w:rsid w:val="009F2D69"/>
    <w:rsid w:val="00A13529"/>
    <w:rsid w:val="00A239FD"/>
    <w:rsid w:val="00A648CD"/>
    <w:rsid w:val="00A65126"/>
    <w:rsid w:val="00A94C6E"/>
    <w:rsid w:val="00A9618E"/>
    <w:rsid w:val="00AA3AAA"/>
    <w:rsid w:val="00AC38EE"/>
    <w:rsid w:val="00AC6581"/>
    <w:rsid w:val="00AE35DD"/>
    <w:rsid w:val="00AF71FC"/>
    <w:rsid w:val="00B001E2"/>
    <w:rsid w:val="00B02419"/>
    <w:rsid w:val="00B364AF"/>
    <w:rsid w:val="00B53441"/>
    <w:rsid w:val="00B70C29"/>
    <w:rsid w:val="00B842D2"/>
    <w:rsid w:val="00B908CD"/>
    <w:rsid w:val="00BC73AA"/>
    <w:rsid w:val="00BF20E6"/>
    <w:rsid w:val="00C10EB5"/>
    <w:rsid w:val="00C37894"/>
    <w:rsid w:val="00C647A8"/>
    <w:rsid w:val="00C7090F"/>
    <w:rsid w:val="00CA36EF"/>
    <w:rsid w:val="00CA473E"/>
    <w:rsid w:val="00CB23A4"/>
    <w:rsid w:val="00CC137F"/>
    <w:rsid w:val="00CC1B22"/>
    <w:rsid w:val="00D22216"/>
    <w:rsid w:val="00D35CE6"/>
    <w:rsid w:val="00D60B9B"/>
    <w:rsid w:val="00D63125"/>
    <w:rsid w:val="00D8694E"/>
    <w:rsid w:val="00D974ED"/>
    <w:rsid w:val="00DA3B8A"/>
    <w:rsid w:val="00DE1727"/>
    <w:rsid w:val="00DE5686"/>
    <w:rsid w:val="00DF30E1"/>
    <w:rsid w:val="00DF44B9"/>
    <w:rsid w:val="00E04636"/>
    <w:rsid w:val="00E320A2"/>
    <w:rsid w:val="00E46D2C"/>
    <w:rsid w:val="00E63559"/>
    <w:rsid w:val="00E64530"/>
    <w:rsid w:val="00E959A7"/>
    <w:rsid w:val="00EB5CF7"/>
    <w:rsid w:val="00ED3161"/>
    <w:rsid w:val="00F023EA"/>
    <w:rsid w:val="00F2356E"/>
    <w:rsid w:val="00F23EAF"/>
    <w:rsid w:val="00F500A1"/>
    <w:rsid w:val="00F53120"/>
    <w:rsid w:val="00F536D4"/>
    <w:rsid w:val="00F61D08"/>
    <w:rsid w:val="00F67258"/>
    <w:rsid w:val="00F7120B"/>
    <w:rsid w:val="00F87009"/>
    <w:rsid w:val="00F97382"/>
    <w:rsid w:val="00FF671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564027A-1197-4C2F-B58F-D10B6437F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spacing w:line="220" w:lineRule="exact"/>
      <w:ind w:left="440" w:hangingChars="200" w:hanging="440"/>
    </w:pPr>
    <w:rPr>
      <w:rFonts w:ascii="標楷體" w:eastAsia="標楷體"/>
      <w:sz w:val="22"/>
    </w:rPr>
  </w:style>
  <w:style w:type="paragraph" w:styleId="2">
    <w:name w:val="Body Text Indent 2"/>
    <w:basedOn w:val="a"/>
    <w:semiHidden/>
    <w:pPr>
      <w:spacing w:line="220" w:lineRule="exact"/>
      <w:ind w:left="1078" w:hangingChars="490" w:hanging="1078"/>
    </w:pPr>
    <w:rPr>
      <w:rFonts w:ascii="標楷體" w:eastAsia="標楷體"/>
      <w:sz w:val="22"/>
    </w:rPr>
  </w:style>
  <w:style w:type="paragraph" w:styleId="a4">
    <w:name w:val="header"/>
    <w:basedOn w:val="a"/>
    <w:semiHidden/>
    <w:pPr>
      <w:tabs>
        <w:tab w:val="center" w:pos="4153"/>
        <w:tab w:val="right" w:pos="8306"/>
      </w:tabs>
      <w:snapToGrid w:val="0"/>
    </w:pPr>
    <w:rPr>
      <w:sz w:val="20"/>
      <w:szCs w:val="20"/>
    </w:rPr>
  </w:style>
  <w:style w:type="paragraph" w:customStyle="1" w:styleId="1">
    <w:name w:val="須知1"/>
    <w:basedOn w:val="a"/>
    <w:pPr>
      <w:spacing w:line="300" w:lineRule="exact"/>
      <w:ind w:left="440" w:hangingChars="200" w:hanging="440"/>
    </w:pPr>
    <w:rPr>
      <w:rFonts w:ascii="標楷體" w:eastAsia="標楷體" w:hAnsi="標楷體"/>
      <w:sz w:val="22"/>
      <w:shd w:val="pct15" w:color="auto" w:fill="FFFFFF"/>
    </w:rPr>
  </w:style>
  <w:style w:type="paragraph" w:styleId="a5">
    <w:name w:val="footer"/>
    <w:basedOn w:val="a"/>
    <w:semiHidden/>
    <w:pPr>
      <w:tabs>
        <w:tab w:val="center" w:pos="4153"/>
        <w:tab w:val="right" w:pos="8306"/>
      </w:tabs>
      <w:snapToGrid w:val="0"/>
    </w:pPr>
    <w:rPr>
      <w:sz w:val="20"/>
      <w:szCs w:val="20"/>
    </w:rPr>
  </w:style>
  <w:style w:type="paragraph" w:styleId="a6">
    <w:name w:val="Plain Text"/>
    <w:basedOn w:val="a"/>
    <w:link w:val="a7"/>
    <w:semiHidden/>
    <w:rsid w:val="009F2D69"/>
    <w:pPr>
      <w:widowControl/>
    </w:pPr>
    <w:rPr>
      <w:rFonts w:ascii="Courier New" w:hAnsi="Courier New"/>
      <w:kern w:val="0"/>
      <w:sz w:val="20"/>
      <w:szCs w:val="20"/>
      <w:lang w:val="x-none" w:eastAsia="x-none"/>
    </w:rPr>
  </w:style>
  <w:style w:type="character" w:customStyle="1" w:styleId="a7">
    <w:name w:val="純文字 字元"/>
    <w:link w:val="a6"/>
    <w:semiHidden/>
    <w:rsid w:val="009F2D69"/>
    <w:rPr>
      <w:rFonts w:ascii="Courier New" w:hAnsi="Courier New"/>
      <w:lang w:val="x-none" w:eastAsia="x-none"/>
    </w:rPr>
  </w:style>
  <w:style w:type="paragraph" w:styleId="Web">
    <w:name w:val="Normal (Web)"/>
    <w:basedOn w:val="a"/>
    <w:uiPriority w:val="99"/>
    <w:unhideWhenUsed/>
    <w:rsid w:val="009F2D69"/>
    <w:pPr>
      <w:widowControl/>
      <w:spacing w:before="100" w:beforeAutospacing="1" w:after="119"/>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D22AB-DE20-489F-A2CC-C9D544C43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125</Words>
  <Characters>718</Characters>
  <Application>Microsoft Office Word</Application>
  <DocSecurity>0</DocSecurity>
  <Lines>5</Lines>
  <Paragraphs>1</Paragraphs>
  <ScaleCrop>false</ScaleCrop>
  <Company>mitac</Company>
  <LinksUpToDate>false</LinksUpToDate>
  <CharactersWithSpaces>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申　報　須　知 -----</dc:title>
  <dc:creator>iis0502</dc:creator>
  <cp:lastModifiedBy>劉宗榮(NH17086)</cp:lastModifiedBy>
  <cp:revision>8</cp:revision>
  <cp:lastPrinted>2014-12-22T00:45:00Z</cp:lastPrinted>
  <dcterms:created xsi:type="dcterms:W3CDTF">2016-12-02T03:16:00Z</dcterms:created>
  <dcterms:modified xsi:type="dcterms:W3CDTF">2017-07-13T08:08:00Z</dcterms:modified>
</cp:coreProperties>
</file>