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438" w:rsidRDefault="004E3438">
      <w:pPr>
        <w:tabs>
          <w:tab w:val="left" w:pos="854"/>
          <w:tab w:val="left" w:pos="1680"/>
        </w:tabs>
        <w:snapToGrid w:val="0"/>
        <w:spacing w:line="400" w:lineRule="exact"/>
        <w:ind w:firstLineChars="56" w:firstLine="179"/>
        <w:jc w:val="both"/>
        <w:rPr>
          <w:b/>
          <w:bCs/>
          <w:sz w:val="32"/>
        </w:rPr>
      </w:pPr>
      <w:r>
        <w:rPr>
          <w:rFonts w:hint="eastAsia"/>
          <w:b/>
          <w:bCs/>
          <w:sz w:val="32"/>
        </w:rPr>
        <w:t>壹、</w:t>
      </w:r>
      <w:r w:rsidRPr="00D63EFF">
        <w:rPr>
          <w:rFonts w:hint="eastAsia"/>
          <w:b/>
          <w:bCs/>
          <w:sz w:val="32"/>
        </w:rPr>
        <w:t>10</w:t>
      </w:r>
      <w:r w:rsidR="00486F5A">
        <w:rPr>
          <w:b/>
          <w:bCs/>
          <w:sz w:val="32"/>
        </w:rPr>
        <w:t>6</w:t>
      </w:r>
      <w:bookmarkStart w:id="0" w:name="_GoBack"/>
      <w:bookmarkEnd w:id="0"/>
      <w:r w:rsidRPr="00D63EFF">
        <w:rPr>
          <w:b/>
          <w:bCs/>
          <w:sz w:val="32"/>
        </w:rPr>
        <w:t>年</w:t>
      </w:r>
      <w:r>
        <w:rPr>
          <w:b/>
          <w:bCs/>
          <w:sz w:val="32"/>
        </w:rPr>
        <w:t>度應揭露關係人及關係人交易資料</w:t>
      </w:r>
      <w:r>
        <w:rPr>
          <w:rFonts w:hint="eastAsia"/>
          <w:b/>
          <w:bCs/>
          <w:sz w:val="32"/>
        </w:rPr>
        <w:t>範圍</w:t>
      </w:r>
      <w:r>
        <w:t>（財政部9</w:t>
      </w:r>
      <w:r>
        <w:rPr>
          <w:rFonts w:hint="eastAsia"/>
        </w:rPr>
        <w:t>6</w:t>
      </w:r>
      <w:r>
        <w:t>年1月</w:t>
      </w:r>
      <w:r>
        <w:rPr>
          <w:rFonts w:hint="eastAsia"/>
        </w:rPr>
        <w:t>9</w:t>
      </w:r>
      <w:r>
        <w:t>日台財稅字第</w:t>
      </w:r>
      <w:r>
        <w:rPr>
          <w:rFonts w:hint="eastAsia"/>
        </w:rPr>
        <w:t>09604503530</w:t>
      </w:r>
      <w:r>
        <w:t>號令）</w:t>
      </w:r>
    </w:p>
    <w:p w:rsidR="004E3438" w:rsidRDefault="004E3438">
      <w:pPr>
        <w:pStyle w:val="a3"/>
        <w:kinsoku w:val="0"/>
        <w:spacing w:line="400" w:lineRule="exact"/>
        <w:ind w:leftChars="58" w:left="668" w:hangingChars="211" w:hanging="506"/>
        <w:jc w:val="both"/>
        <w:rPr>
          <w:rFonts w:ascii="標楷體" w:hAnsi="標楷體"/>
          <w:sz w:val="24"/>
          <w:szCs w:val="20"/>
        </w:rPr>
      </w:pPr>
      <w:r>
        <w:rPr>
          <w:rFonts w:ascii="標楷體" w:hAnsi="標楷體"/>
          <w:sz w:val="24"/>
          <w:szCs w:val="20"/>
        </w:rPr>
        <w:t>一、營利事業之全年營業收入淨額及非營業收入合計數(以下簡稱收入總額)在新臺幣3</w:t>
      </w:r>
      <w:proofErr w:type="gramStart"/>
      <w:r>
        <w:rPr>
          <w:rFonts w:ascii="標楷體" w:hAnsi="標楷體"/>
          <w:sz w:val="24"/>
          <w:szCs w:val="20"/>
        </w:rPr>
        <w:t>千萬</w:t>
      </w:r>
      <w:proofErr w:type="gramEnd"/>
      <w:r>
        <w:rPr>
          <w:rFonts w:ascii="標楷體" w:hAnsi="標楷體"/>
          <w:sz w:val="24"/>
          <w:szCs w:val="20"/>
        </w:rPr>
        <w:t>元以上，且有下列情形之</w:t>
      </w:r>
      <w:proofErr w:type="gramStart"/>
      <w:r>
        <w:rPr>
          <w:rFonts w:ascii="標楷體" w:hAnsi="標楷體"/>
          <w:sz w:val="24"/>
          <w:szCs w:val="20"/>
        </w:rPr>
        <w:t>一</w:t>
      </w:r>
      <w:proofErr w:type="gramEnd"/>
      <w:r>
        <w:rPr>
          <w:rFonts w:ascii="標楷體" w:hAnsi="標楷體"/>
          <w:sz w:val="24"/>
          <w:szCs w:val="20"/>
        </w:rPr>
        <w:t>者，應依營利事業所得稅不合常規移轉訂價查核準則(以下簡稱移轉訂價查核準則)第21條規定，揭露符合第二點規定之關係人及關係人交易之資料：</w:t>
      </w:r>
    </w:p>
    <w:p w:rsidR="004E3438" w:rsidRDefault="004E3438">
      <w:pPr>
        <w:pStyle w:val="a3"/>
        <w:tabs>
          <w:tab w:val="num" w:pos="560"/>
        </w:tabs>
        <w:kinsoku w:val="0"/>
        <w:spacing w:line="400" w:lineRule="exact"/>
        <w:ind w:leftChars="129" w:left="563" w:hangingChars="84" w:hanging="202"/>
        <w:jc w:val="both"/>
        <w:rPr>
          <w:rFonts w:ascii="標楷體" w:hAnsi="標楷體"/>
          <w:sz w:val="24"/>
          <w:szCs w:val="20"/>
        </w:rPr>
      </w:pPr>
      <w:r>
        <w:rPr>
          <w:rFonts w:ascii="標楷體" w:hAnsi="標楷體"/>
          <w:sz w:val="24"/>
          <w:szCs w:val="20"/>
        </w:rPr>
        <w:t>(</w:t>
      </w:r>
      <w:proofErr w:type="gramStart"/>
      <w:r>
        <w:rPr>
          <w:rFonts w:ascii="標楷體" w:hAnsi="標楷體"/>
          <w:sz w:val="24"/>
          <w:szCs w:val="20"/>
        </w:rPr>
        <w:t>一</w:t>
      </w:r>
      <w:proofErr w:type="gramEnd"/>
      <w:r>
        <w:rPr>
          <w:rFonts w:ascii="標楷體" w:hAnsi="標楷體"/>
          <w:sz w:val="24"/>
          <w:szCs w:val="20"/>
        </w:rPr>
        <w:t>)</w:t>
      </w:r>
      <w:r>
        <w:rPr>
          <w:rFonts w:ascii="標楷體" w:hAnsi="標楷體"/>
          <w:sz w:val="24"/>
          <w:szCs w:val="32"/>
        </w:rPr>
        <w:t>營利事業在中華民國境外有關係人(包括總機構及分支機構)。</w:t>
      </w:r>
    </w:p>
    <w:p w:rsidR="004E3438" w:rsidRDefault="004E3438">
      <w:pPr>
        <w:pStyle w:val="a3"/>
        <w:tabs>
          <w:tab w:val="num" w:pos="560"/>
        </w:tabs>
        <w:kinsoku w:val="0"/>
        <w:spacing w:line="400" w:lineRule="exact"/>
        <w:ind w:leftChars="129" w:left="841" w:hangingChars="200" w:hanging="480"/>
        <w:jc w:val="both"/>
        <w:rPr>
          <w:rFonts w:ascii="標楷體" w:hAnsi="標楷體"/>
          <w:sz w:val="24"/>
          <w:szCs w:val="20"/>
        </w:rPr>
      </w:pPr>
      <w:r>
        <w:rPr>
          <w:rFonts w:ascii="標楷體" w:hAnsi="標楷體"/>
          <w:sz w:val="24"/>
          <w:szCs w:val="20"/>
        </w:rPr>
        <w:t>(二)營利事業依租稅減免法規享有租稅優惠，或依法申報扣除前</w:t>
      </w:r>
      <w:r w:rsidR="00A865B4" w:rsidRPr="00D63EFF">
        <w:rPr>
          <w:rFonts w:ascii="標楷體" w:hAnsi="標楷體" w:hint="eastAsia"/>
          <w:sz w:val="24"/>
          <w:szCs w:val="20"/>
        </w:rPr>
        <w:t>10</w:t>
      </w:r>
      <w:r>
        <w:rPr>
          <w:rFonts w:ascii="標楷體" w:hAnsi="標楷體"/>
          <w:sz w:val="24"/>
          <w:szCs w:val="20"/>
        </w:rPr>
        <w:t>年虧損者。但營利事業依法申報實際抵減當年度營利事業所得稅結算申報應納稅額及前1年度未分配盈餘申報應加徵稅額之金額合計在新臺幣50萬元以下，或依法實際申報扣除之前</w:t>
      </w:r>
      <w:r w:rsidR="00A865B4" w:rsidRPr="00D63EFF">
        <w:rPr>
          <w:rFonts w:ascii="標楷體" w:hAnsi="標楷體" w:hint="eastAsia"/>
          <w:sz w:val="24"/>
          <w:szCs w:val="20"/>
        </w:rPr>
        <w:t>10</w:t>
      </w:r>
      <w:r>
        <w:rPr>
          <w:rFonts w:ascii="標楷體" w:hAnsi="標楷體"/>
          <w:sz w:val="24"/>
          <w:szCs w:val="20"/>
        </w:rPr>
        <w:t>年虧損之金額在新臺幣2百萬元以下者，不適用之。所稱租稅減免法規，指當年度營利事業所得稅結算申報</w:t>
      </w:r>
      <w:r>
        <w:rPr>
          <w:rFonts w:ascii="標楷體" w:hAnsi="標楷體" w:hint="eastAsia"/>
          <w:sz w:val="24"/>
          <w:szCs w:val="20"/>
        </w:rPr>
        <w:t>書(</w:t>
      </w:r>
      <w:r>
        <w:rPr>
          <w:rFonts w:ascii="標楷體" w:hAnsi="標楷體"/>
          <w:sz w:val="24"/>
          <w:szCs w:val="20"/>
        </w:rPr>
        <w:t>租稅減免</w:t>
      </w:r>
      <w:r>
        <w:rPr>
          <w:rFonts w:ascii="標楷體" w:hAnsi="標楷體" w:hint="eastAsia"/>
          <w:sz w:val="24"/>
          <w:szCs w:val="20"/>
        </w:rPr>
        <w:t>部分)</w:t>
      </w:r>
      <w:r>
        <w:rPr>
          <w:rFonts w:ascii="標楷體" w:hAnsi="標楷體"/>
          <w:sz w:val="24"/>
          <w:szCs w:val="20"/>
        </w:rPr>
        <w:t>所列之法規。</w:t>
      </w:r>
    </w:p>
    <w:p w:rsidR="004E3438" w:rsidRDefault="004E3438">
      <w:pPr>
        <w:tabs>
          <w:tab w:val="left" w:pos="854"/>
          <w:tab w:val="left" w:pos="1680"/>
        </w:tabs>
        <w:snapToGrid w:val="0"/>
        <w:spacing w:line="400" w:lineRule="exact"/>
        <w:ind w:leftChars="129" w:left="563" w:hangingChars="84" w:hanging="202"/>
        <w:jc w:val="both"/>
        <w:rPr>
          <w:sz w:val="24"/>
        </w:rPr>
      </w:pPr>
      <w:r>
        <w:rPr>
          <w:sz w:val="24"/>
        </w:rPr>
        <w:t>(三)前(</w:t>
      </w:r>
      <w:proofErr w:type="gramStart"/>
      <w:r>
        <w:rPr>
          <w:sz w:val="24"/>
        </w:rPr>
        <w:t>一</w:t>
      </w:r>
      <w:proofErr w:type="gramEnd"/>
      <w:r>
        <w:rPr>
          <w:sz w:val="24"/>
        </w:rPr>
        <w:t>)、(二)以外之營利事業，全年收入總額在新臺幣3億元以上。</w:t>
      </w:r>
    </w:p>
    <w:p w:rsidR="004E3438" w:rsidRDefault="004E3438">
      <w:pPr>
        <w:pStyle w:val="a3"/>
        <w:kinsoku w:val="0"/>
        <w:spacing w:line="400" w:lineRule="exact"/>
        <w:ind w:leftChars="58" w:left="668" w:hangingChars="211" w:hanging="506"/>
        <w:jc w:val="both"/>
        <w:rPr>
          <w:rFonts w:ascii="標楷體" w:hAnsi="標楷體"/>
          <w:sz w:val="24"/>
        </w:rPr>
      </w:pPr>
      <w:r>
        <w:rPr>
          <w:rFonts w:ascii="標楷體" w:hAnsi="標楷體"/>
          <w:sz w:val="24"/>
        </w:rPr>
        <w:t>二、應揭露之關係人及關係人交易之範圍：</w:t>
      </w:r>
    </w:p>
    <w:p w:rsidR="004E3438" w:rsidRDefault="004E3438">
      <w:pPr>
        <w:pStyle w:val="a3"/>
        <w:kinsoku w:val="0"/>
        <w:spacing w:line="400" w:lineRule="exact"/>
        <w:ind w:leftChars="128" w:left="480" w:hangingChars="51" w:hanging="122"/>
        <w:jc w:val="both"/>
        <w:rPr>
          <w:rFonts w:ascii="標楷體" w:hAnsi="標楷體"/>
          <w:sz w:val="24"/>
          <w:szCs w:val="20"/>
        </w:rPr>
      </w:pPr>
      <w:r>
        <w:rPr>
          <w:rFonts w:ascii="標楷體" w:hAnsi="標楷體"/>
          <w:sz w:val="24"/>
          <w:szCs w:val="20"/>
        </w:rPr>
        <w:t>(</w:t>
      </w:r>
      <w:proofErr w:type="gramStart"/>
      <w:r>
        <w:rPr>
          <w:rFonts w:ascii="標楷體" w:hAnsi="標楷體"/>
          <w:sz w:val="24"/>
          <w:szCs w:val="20"/>
        </w:rPr>
        <w:t>一</w:t>
      </w:r>
      <w:proofErr w:type="gramEnd"/>
      <w:r>
        <w:rPr>
          <w:rFonts w:ascii="標楷體" w:hAnsi="標楷體"/>
          <w:sz w:val="24"/>
          <w:szCs w:val="20"/>
        </w:rPr>
        <w:t>)關係企業方面：</w:t>
      </w:r>
    </w:p>
    <w:p w:rsidR="004E3438" w:rsidRDefault="004E3438">
      <w:pPr>
        <w:pStyle w:val="a3"/>
        <w:kinsoku w:val="0"/>
        <w:spacing w:line="400" w:lineRule="exact"/>
        <w:ind w:leftChars="300" w:left="840"/>
        <w:jc w:val="both"/>
        <w:rPr>
          <w:rFonts w:ascii="標楷體" w:hAnsi="標楷體"/>
          <w:sz w:val="24"/>
          <w:szCs w:val="20"/>
        </w:rPr>
      </w:pPr>
      <w:r>
        <w:rPr>
          <w:rFonts w:ascii="標楷體" w:hAnsi="標楷體"/>
          <w:sz w:val="24"/>
          <w:szCs w:val="20"/>
        </w:rPr>
        <w:t>符合第一點規定之營利事業與移轉訂價查核準則第4條第1項第1款規定之關係企業從事交易，且其交易符合下列條件之</w:t>
      </w:r>
      <w:proofErr w:type="gramStart"/>
      <w:r>
        <w:rPr>
          <w:rFonts w:ascii="標楷體" w:hAnsi="標楷體"/>
          <w:sz w:val="24"/>
          <w:szCs w:val="20"/>
        </w:rPr>
        <w:t>一</w:t>
      </w:r>
      <w:proofErr w:type="gramEnd"/>
      <w:r>
        <w:rPr>
          <w:rFonts w:ascii="標楷體" w:hAnsi="標楷體"/>
          <w:sz w:val="24"/>
          <w:szCs w:val="20"/>
        </w:rPr>
        <w:t>者，應依當年度營利事業所得稅結算申報書格式揭露該等關係企業之資訊及其與該等關係企業所從事之所有交易之資料：</w:t>
      </w:r>
    </w:p>
    <w:p w:rsidR="004E3438" w:rsidRDefault="004E3438">
      <w:pPr>
        <w:pStyle w:val="a3"/>
        <w:kinsoku w:val="0"/>
        <w:spacing w:line="400" w:lineRule="exact"/>
        <w:ind w:leftChars="210" w:left="768" w:hangingChars="75" w:hanging="180"/>
        <w:jc w:val="both"/>
        <w:rPr>
          <w:rFonts w:ascii="標楷體" w:hAnsi="標楷體"/>
          <w:sz w:val="24"/>
          <w:szCs w:val="20"/>
        </w:rPr>
      </w:pPr>
      <w:r>
        <w:rPr>
          <w:rFonts w:ascii="標楷體" w:hAnsi="標楷體"/>
          <w:sz w:val="24"/>
          <w:szCs w:val="20"/>
        </w:rPr>
        <w:t>1.營利事業與同一關係企業之全年交易總額在新臺幣1千2百萬元以上。</w:t>
      </w:r>
    </w:p>
    <w:p w:rsidR="004E3438" w:rsidRDefault="004E3438">
      <w:pPr>
        <w:pStyle w:val="a3"/>
        <w:kinsoku w:val="0"/>
        <w:spacing w:line="400" w:lineRule="exact"/>
        <w:ind w:leftChars="210" w:left="768" w:hangingChars="75" w:hanging="180"/>
        <w:jc w:val="both"/>
        <w:rPr>
          <w:rFonts w:ascii="標楷體" w:hAnsi="標楷體"/>
          <w:sz w:val="24"/>
          <w:szCs w:val="20"/>
        </w:rPr>
      </w:pPr>
      <w:r>
        <w:rPr>
          <w:rFonts w:ascii="標楷體" w:hAnsi="標楷體"/>
          <w:sz w:val="24"/>
          <w:szCs w:val="20"/>
        </w:rPr>
        <w:t>2.營利事業與所有關係企業之全年交易總額在新臺幣5</w:t>
      </w:r>
      <w:proofErr w:type="gramStart"/>
      <w:r>
        <w:rPr>
          <w:rFonts w:ascii="標楷體" w:hAnsi="標楷體"/>
          <w:sz w:val="24"/>
          <w:szCs w:val="20"/>
        </w:rPr>
        <w:t>千萬</w:t>
      </w:r>
      <w:proofErr w:type="gramEnd"/>
      <w:r>
        <w:rPr>
          <w:rFonts w:ascii="標楷體" w:hAnsi="標楷體"/>
          <w:sz w:val="24"/>
          <w:szCs w:val="20"/>
        </w:rPr>
        <w:t>元以上。</w:t>
      </w:r>
    </w:p>
    <w:p w:rsidR="004E3438" w:rsidRDefault="004E3438">
      <w:pPr>
        <w:pStyle w:val="a3"/>
        <w:kinsoku w:val="0"/>
        <w:spacing w:line="400" w:lineRule="exact"/>
        <w:ind w:leftChars="128" w:left="516" w:hangingChars="66" w:hanging="158"/>
        <w:jc w:val="both"/>
        <w:rPr>
          <w:rFonts w:ascii="標楷體" w:hAnsi="標楷體"/>
          <w:sz w:val="24"/>
          <w:szCs w:val="20"/>
        </w:rPr>
      </w:pPr>
      <w:r>
        <w:rPr>
          <w:rFonts w:ascii="標楷體" w:hAnsi="標楷體"/>
          <w:sz w:val="24"/>
          <w:szCs w:val="20"/>
        </w:rPr>
        <w:t>(二)關係企業以外之關係人方面：</w:t>
      </w:r>
    </w:p>
    <w:p w:rsidR="004E3438" w:rsidRDefault="004E3438">
      <w:pPr>
        <w:pStyle w:val="a3"/>
        <w:kinsoku w:val="0"/>
        <w:spacing w:line="400" w:lineRule="exact"/>
        <w:ind w:leftChars="300" w:left="840"/>
        <w:jc w:val="both"/>
        <w:rPr>
          <w:rFonts w:ascii="標楷體" w:hAnsi="標楷體"/>
          <w:sz w:val="24"/>
          <w:szCs w:val="20"/>
        </w:rPr>
      </w:pPr>
      <w:r>
        <w:rPr>
          <w:rFonts w:ascii="標楷體" w:hAnsi="標楷體"/>
          <w:sz w:val="24"/>
          <w:szCs w:val="20"/>
        </w:rPr>
        <w:t>符合第一點規定之營利事業與移轉訂價查核準則第4條第1項第2款規定之關係企業以外之關係人從事交易，且其交易符合下列條件之</w:t>
      </w:r>
      <w:proofErr w:type="gramStart"/>
      <w:r>
        <w:rPr>
          <w:rFonts w:ascii="標楷體" w:hAnsi="標楷體"/>
          <w:sz w:val="24"/>
          <w:szCs w:val="20"/>
        </w:rPr>
        <w:t>一</w:t>
      </w:r>
      <w:proofErr w:type="gramEnd"/>
      <w:r>
        <w:rPr>
          <w:rFonts w:ascii="標楷體" w:hAnsi="標楷體"/>
          <w:sz w:val="24"/>
          <w:szCs w:val="20"/>
        </w:rPr>
        <w:t>者，應依當年度營利事業所得稅結算申報書格式揭露該等關係人資訊及其與該等關係人交易之資料：</w:t>
      </w:r>
    </w:p>
    <w:p w:rsidR="004E3438" w:rsidRDefault="004E3438">
      <w:pPr>
        <w:pStyle w:val="a3"/>
        <w:kinsoku w:val="0"/>
        <w:spacing w:line="400" w:lineRule="exact"/>
        <w:ind w:leftChars="210" w:left="768" w:hangingChars="75" w:hanging="180"/>
        <w:jc w:val="both"/>
        <w:rPr>
          <w:rFonts w:ascii="標楷體" w:hAnsi="標楷體"/>
          <w:sz w:val="24"/>
          <w:szCs w:val="20"/>
        </w:rPr>
      </w:pPr>
      <w:r>
        <w:rPr>
          <w:rFonts w:ascii="標楷體" w:hAnsi="標楷體"/>
          <w:sz w:val="24"/>
          <w:szCs w:val="20"/>
        </w:rPr>
        <w:t>1.營利事業與同一關係企業以外之關係人之全年交易總額在新臺幣6百萬元以上。</w:t>
      </w:r>
    </w:p>
    <w:p w:rsidR="004E3438" w:rsidRDefault="004E3438">
      <w:pPr>
        <w:pStyle w:val="a3"/>
        <w:kinsoku w:val="0"/>
        <w:spacing w:line="400" w:lineRule="exact"/>
        <w:ind w:leftChars="210" w:left="768" w:hangingChars="75" w:hanging="180"/>
        <w:jc w:val="both"/>
        <w:rPr>
          <w:rFonts w:ascii="標楷體" w:hAnsi="標楷體"/>
          <w:sz w:val="24"/>
          <w:szCs w:val="20"/>
        </w:rPr>
      </w:pPr>
      <w:r>
        <w:rPr>
          <w:rFonts w:ascii="標楷體" w:hAnsi="標楷體"/>
          <w:sz w:val="24"/>
          <w:szCs w:val="20"/>
        </w:rPr>
        <w:t>2.營利事業與所有關係企業以外之關係人之全年交易總額在新臺幣2千5百萬元以上。</w:t>
      </w:r>
    </w:p>
    <w:p w:rsidR="004E3438" w:rsidRDefault="004E3438">
      <w:pPr>
        <w:pStyle w:val="a3"/>
        <w:kinsoku w:val="0"/>
        <w:spacing w:line="400" w:lineRule="exact"/>
        <w:ind w:leftChars="58" w:left="642" w:hangingChars="200" w:hanging="480"/>
        <w:jc w:val="both"/>
        <w:rPr>
          <w:rFonts w:ascii="標楷體" w:hAnsi="標楷體"/>
          <w:color w:val="000000"/>
          <w:sz w:val="24"/>
        </w:rPr>
      </w:pPr>
      <w:r>
        <w:rPr>
          <w:rFonts w:ascii="標楷體" w:hAnsi="標楷體"/>
          <w:sz w:val="24"/>
        </w:rPr>
        <w:t>三、第二點所稱全年交易總額，係不分交易類型，且無論</w:t>
      </w:r>
      <w:proofErr w:type="gramStart"/>
      <w:r>
        <w:rPr>
          <w:rFonts w:ascii="標楷體" w:hAnsi="標楷體"/>
          <w:sz w:val="24"/>
        </w:rPr>
        <w:t>交易所涉為營利</w:t>
      </w:r>
      <w:proofErr w:type="gramEnd"/>
      <w:r>
        <w:rPr>
          <w:rFonts w:ascii="標楷體" w:hAnsi="標楷體"/>
          <w:sz w:val="24"/>
        </w:rPr>
        <w:t>事業之收入或支出，以絕對金額相加之全年總額。其屬資金之使</w:t>
      </w:r>
      <w:r>
        <w:rPr>
          <w:rFonts w:ascii="標楷體" w:hAnsi="標楷體"/>
          <w:color w:val="000000"/>
          <w:sz w:val="24"/>
        </w:rPr>
        <w:t>用交易類型者，</w:t>
      </w:r>
      <w:r>
        <w:rPr>
          <w:rFonts w:ascii="標楷體" w:hAnsi="標楷體" w:hint="eastAsia"/>
          <w:color w:val="000000"/>
          <w:sz w:val="24"/>
          <w:szCs w:val="20"/>
        </w:rPr>
        <w:t>以營利事業當年度實際提供或使用資金之金額，按其實際提供或使用該資金之天數加權平均計算之</w:t>
      </w:r>
      <w:r>
        <w:rPr>
          <w:rFonts w:ascii="標楷體" w:hAnsi="標楷體"/>
          <w:color w:val="000000"/>
          <w:sz w:val="24"/>
        </w:rPr>
        <w:t>資金金額按當年度財政部核定向非金融業借款利率最高標準計算之金額為</w:t>
      </w:r>
      <w:proofErr w:type="gramStart"/>
      <w:r>
        <w:rPr>
          <w:rFonts w:ascii="標楷體" w:hAnsi="標楷體"/>
          <w:color w:val="000000"/>
          <w:sz w:val="24"/>
        </w:rPr>
        <w:t>準</w:t>
      </w:r>
      <w:proofErr w:type="gramEnd"/>
      <w:r>
        <w:rPr>
          <w:rFonts w:ascii="標楷體" w:hAnsi="標楷體"/>
          <w:color w:val="000000"/>
          <w:sz w:val="24"/>
        </w:rPr>
        <w:t>。</w:t>
      </w:r>
    </w:p>
    <w:p w:rsidR="004E3438" w:rsidRDefault="004E3438">
      <w:pPr>
        <w:pStyle w:val="a3"/>
        <w:kinsoku w:val="0"/>
        <w:spacing w:line="400" w:lineRule="exact"/>
        <w:ind w:leftChars="58" w:left="642" w:hangingChars="200" w:hanging="480"/>
        <w:jc w:val="both"/>
        <w:rPr>
          <w:rFonts w:ascii="標楷體" w:hAnsi="標楷體"/>
          <w:sz w:val="24"/>
          <w:szCs w:val="32"/>
        </w:rPr>
      </w:pPr>
      <w:r>
        <w:rPr>
          <w:rFonts w:ascii="標楷體" w:hAnsi="標楷體"/>
          <w:sz w:val="24"/>
        </w:rPr>
        <w:t>四、</w:t>
      </w:r>
      <w:r>
        <w:rPr>
          <w:rFonts w:ascii="標楷體" w:hAnsi="標楷體"/>
          <w:sz w:val="24"/>
          <w:szCs w:val="32"/>
        </w:rPr>
        <w:t>第二點</w:t>
      </w:r>
      <w:r>
        <w:rPr>
          <w:rFonts w:ascii="標楷體" w:hAnsi="標楷體"/>
          <w:sz w:val="24"/>
          <w:szCs w:val="20"/>
        </w:rPr>
        <w:t>關係企業</w:t>
      </w:r>
      <w:r>
        <w:rPr>
          <w:rFonts w:ascii="標楷體" w:hAnsi="標楷體"/>
          <w:sz w:val="24"/>
          <w:szCs w:val="32"/>
        </w:rPr>
        <w:t>之認定，於適用移轉訂價查核準則第3條第1款有關間接持有另一營利事業有表決權之股份或資本額，超過該另一營利事業有表決權之股份總數或資本總額20%以上規定時，參照財務會計準則第5號</w:t>
      </w:r>
      <w:r>
        <w:rPr>
          <w:rFonts w:ascii="標楷體" w:hAnsi="標楷體" w:hint="eastAsia"/>
          <w:sz w:val="24"/>
          <w:szCs w:val="32"/>
        </w:rPr>
        <w:t>公報辦理。</w:t>
      </w:r>
    </w:p>
    <w:p w:rsidR="004E3438" w:rsidRDefault="004E3438">
      <w:pPr>
        <w:pStyle w:val="a3"/>
        <w:kinsoku w:val="0"/>
        <w:spacing w:line="400" w:lineRule="exact"/>
        <w:ind w:leftChars="58" w:left="642" w:hangingChars="200" w:hanging="480"/>
        <w:jc w:val="both"/>
        <w:rPr>
          <w:rFonts w:ascii="標楷體" w:hAnsi="標楷體"/>
          <w:sz w:val="24"/>
          <w:szCs w:val="32"/>
        </w:rPr>
      </w:pPr>
      <w:r>
        <w:rPr>
          <w:rFonts w:ascii="標楷體" w:hAnsi="標楷體" w:hint="eastAsia"/>
          <w:sz w:val="24"/>
          <w:szCs w:val="32"/>
        </w:rPr>
        <w:t>五、營利事業與間接持有或被間接持有關係企業間之受控交易，符合第一點及第二點揭露規定者，其所有直接或間接持有或被直接或間接持有之關係企業資料（不論相互間有無受控交易），均應予以揭露。</w:t>
      </w:r>
    </w:p>
    <w:p w:rsidR="004E3438" w:rsidRDefault="004E3438">
      <w:pPr>
        <w:pStyle w:val="a3"/>
        <w:kinsoku w:val="0"/>
        <w:spacing w:line="400" w:lineRule="exact"/>
        <w:ind w:leftChars="58" w:left="668" w:hangingChars="211" w:hanging="506"/>
        <w:jc w:val="both"/>
        <w:rPr>
          <w:rFonts w:ascii="標楷體" w:hAnsi="標楷體"/>
          <w:sz w:val="24"/>
          <w:szCs w:val="32"/>
        </w:rPr>
      </w:pPr>
    </w:p>
    <w:p w:rsidR="004E3438" w:rsidRDefault="004E3438">
      <w:pPr>
        <w:pStyle w:val="a3"/>
        <w:kinsoku w:val="0"/>
        <w:spacing w:line="400" w:lineRule="exact"/>
        <w:ind w:leftChars="58" w:left="838" w:hangingChars="211" w:hanging="676"/>
        <w:jc w:val="both"/>
        <w:rPr>
          <w:rFonts w:ascii="標楷體" w:hAnsi="標楷體"/>
          <w:sz w:val="28"/>
          <w:szCs w:val="32"/>
        </w:rPr>
      </w:pPr>
      <w:r>
        <w:rPr>
          <w:rFonts w:ascii="標楷體" w:hAnsi="標楷體" w:hint="eastAsia"/>
          <w:b/>
          <w:bCs/>
          <w:szCs w:val="32"/>
        </w:rPr>
        <w:t>貳、免依移轉訂價查核準則第22條第1項</w:t>
      </w:r>
      <w:proofErr w:type="gramStart"/>
      <w:r>
        <w:rPr>
          <w:rFonts w:ascii="標楷體" w:hAnsi="標楷體" w:hint="eastAsia"/>
          <w:b/>
          <w:bCs/>
          <w:szCs w:val="32"/>
        </w:rPr>
        <w:t>備妥文據</w:t>
      </w:r>
      <w:proofErr w:type="gramEnd"/>
      <w:r>
        <w:rPr>
          <w:rFonts w:ascii="標楷體" w:hAnsi="標楷體" w:hint="eastAsia"/>
          <w:sz w:val="28"/>
          <w:szCs w:val="32"/>
        </w:rPr>
        <w:t>(財政部97年11月7日台財稅字第09704555180號令)</w:t>
      </w:r>
    </w:p>
    <w:p w:rsidR="004E3438" w:rsidRDefault="004E3438">
      <w:pPr>
        <w:pStyle w:val="a3"/>
        <w:kinsoku w:val="0"/>
        <w:spacing w:line="400" w:lineRule="exact"/>
        <w:ind w:leftChars="58" w:left="642" w:hangingChars="200" w:hanging="480"/>
        <w:jc w:val="both"/>
        <w:rPr>
          <w:rFonts w:ascii="標楷體" w:hAnsi="標楷體"/>
          <w:sz w:val="24"/>
          <w:szCs w:val="32"/>
        </w:rPr>
      </w:pPr>
      <w:r>
        <w:rPr>
          <w:rFonts w:ascii="標楷體" w:hAnsi="標楷體" w:hint="eastAsia"/>
          <w:sz w:val="24"/>
        </w:rPr>
        <w:t>一、營利事業與公營事業、代理商或經銷商及公平交易法第 5條規定之獨占事業等營利事業相互間，有移轉訂價查核準則第3條第8款第3目至第5目規定之情形，但確無同條</w:t>
      </w:r>
      <w:proofErr w:type="gramStart"/>
      <w:r>
        <w:rPr>
          <w:rFonts w:ascii="標楷體" w:hAnsi="標楷體" w:hint="eastAsia"/>
          <w:sz w:val="24"/>
        </w:rPr>
        <w:t>其他款目規定</w:t>
      </w:r>
      <w:proofErr w:type="gramEnd"/>
      <w:r>
        <w:rPr>
          <w:rFonts w:ascii="標楷體" w:hAnsi="標楷體" w:hint="eastAsia"/>
          <w:sz w:val="24"/>
        </w:rPr>
        <w:t>之實質控制或從屬關係者，其於辦理營利事業所得稅結算申報時，得免適用同準則第22條第1項</w:t>
      </w:r>
      <w:proofErr w:type="gramStart"/>
      <w:r>
        <w:rPr>
          <w:rFonts w:ascii="標楷體" w:hAnsi="標楷體" w:hint="eastAsia"/>
          <w:sz w:val="24"/>
        </w:rPr>
        <w:t>備妥文據</w:t>
      </w:r>
      <w:proofErr w:type="gramEnd"/>
      <w:r>
        <w:rPr>
          <w:rFonts w:ascii="標楷體" w:hAnsi="標楷體" w:hint="eastAsia"/>
          <w:sz w:val="24"/>
        </w:rPr>
        <w:t>之規定，並無須依同條第2項規定向</w:t>
      </w:r>
      <w:proofErr w:type="gramStart"/>
      <w:r>
        <w:rPr>
          <w:rFonts w:ascii="標楷體" w:hAnsi="標楷體" w:hint="eastAsia"/>
          <w:sz w:val="24"/>
        </w:rPr>
        <w:t>稽</w:t>
      </w:r>
      <w:proofErr w:type="gramEnd"/>
      <w:r>
        <w:rPr>
          <w:rFonts w:ascii="標楷體" w:hAnsi="標楷體" w:hint="eastAsia"/>
          <w:sz w:val="24"/>
        </w:rPr>
        <w:t>徵機關申請確認。</w:t>
      </w:r>
    </w:p>
    <w:p w:rsidR="004E3438" w:rsidRDefault="004E3438">
      <w:pPr>
        <w:pStyle w:val="a3"/>
        <w:kinsoku w:val="0"/>
        <w:spacing w:line="400" w:lineRule="exact"/>
        <w:ind w:leftChars="58" w:left="618" w:hangingChars="190" w:hanging="456"/>
        <w:jc w:val="both"/>
        <w:rPr>
          <w:rFonts w:ascii="標楷體" w:hAnsi="標楷體"/>
          <w:color w:val="800080"/>
          <w:sz w:val="28"/>
          <w:szCs w:val="32"/>
          <w:u w:val="single"/>
        </w:rPr>
      </w:pPr>
      <w:r>
        <w:rPr>
          <w:rFonts w:ascii="標楷體" w:hAnsi="標楷體" w:hint="eastAsia"/>
          <w:sz w:val="24"/>
          <w:szCs w:val="32"/>
        </w:rPr>
        <w:t>二、</w:t>
      </w:r>
      <w:r>
        <w:rPr>
          <w:rFonts w:ascii="標楷體" w:hAnsi="標楷體" w:hint="eastAsia"/>
          <w:sz w:val="24"/>
        </w:rPr>
        <w:t>前揭營利事業辦理營利事業所得稅結算申報時，仍應依移轉訂價查核準則第21條規定揭露相關交易資料；如經</w:t>
      </w:r>
      <w:proofErr w:type="gramStart"/>
      <w:r>
        <w:rPr>
          <w:rFonts w:ascii="標楷體" w:hAnsi="標楷體" w:hint="eastAsia"/>
          <w:sz w:val="24"/>
        </w:rPr>
        <w:t>稽</w:t>
      </w:r>
      <w:proofErr w:type="gramEnd"/>
      <w:r>
        <w:rPr>
          <w:rFonts w:ascii="標楷體" w:hAnsi="標楷體" w:hint="eastAsia"/>
          <w:sz w:val="24"/>
        </w:rPr>
        <w:t>徵機關發現其</w:t>
      </w:r>
      <w:proofErr w:type="gramStart"/>
      <w:r>
        <w:rPr>
          <w:rFonts w:ascii="標楷體" w:hAnsi="標楷體" w:hint="eastAsia"/>
          <w:sz w:val="24"/>
        </w:rPr>
        <w:t>相互間有以</w:t>
      </w:r>
      <w:proofErr w:type="gramEnd"/>
      <w:r>
        <w:rPr>
          <w:rFonts w:ascii="標楷體" w:hAnsi="標楷體" w:hint="eastAsia"/>
          <w:sz w:val="24"/>
        </w:rPr>
        <w:t>不合營業常規之安排，規避或減少納稅義務情事者，應依所得稅法第43條之1規定辦理。</w:t>
      </w:r>
    </w:p>
    <w:p w:rsidR="004E3438" w:rsidRDefault="004E3438">
      <w:pPr>
        <w:pStyle w:val="a3"/>
        <w:kinsoku w:val="0"/>
        <w:spacing w:line="400" w:lineRule="exact"/>
        <w:ind w:leftChars="-4" w:left="625" w:hangingChars="265" w:hanging="636"/>
        <w:jc w:val="both"/>
        <w:rPr>
          <w:rFonts w:ascii="標楷體" w:hAnsi="標楷體"/>
          <w:color w:val="800080"/>
          <w:sz w:val="24"/>
          <w:u w:val="single"/>
        </w:rPr>
      </w:pPr>
    </w:p>
    <w:sectPr w:rsidR="004E3438">
      <w:footerReference w:type="default" r:id="rId6"/>
      <w:pgSz w:w="16840" w:h="23814" w:code="8"/>
      <w:pgMar w:top="1418" w:right="1304"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93B" w:rsidRDefault="008E793B">
      <w:r>
        <w:separator/>
      </w:r>
    </w:p>
  </w:endnote>
  <w:endnote w:type="continuationSeparator" w:id="0">
    <w:p w:rsidR="008E793B" w:rsidRDefault="008E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438" w:rsidRDefault="004E3438">
    <w:pPr>
      <w:pStyle w:val="a6"/>
      <w:jc w:val="center"/>
      <w:rPr>
        <w:sz w:val="24"/>
        <w:szCs w:val="28"/>
      </w:rPr>
    </w:pPr>
    <w:r>
      <w:rPr>
        <w:rFonts w:hint="eastAsia"/>
        <w:sz w:val="24"/>
        <w:szCs w:val="28"/>
      </w:rPr>
      <w:t>(第</w:t>
    </w:r>
    <w:r w:rsidR="007376DD">
      <w:rPr>
        <w:rFonts w:hint="eastAsia"/>
        <w:sz w:val="24"/>
        <w:szCs w:val="28"/>
      </w:rPr>
      <w:t>B2</w:t>
    </w:r>
    <w:r>
      <w:rPr>
        <w:rFonts w:hint="eastAsia"/>
        <w:sz w:val="24"/>
        <w:szCs w:val="28"/>
      </w:rPr>
      <w:t>頁背面)</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93B" w:rsidRDefault="008E793B">
      <w:r>
        <w:separator/>
      </w:r>
    </w:p>
  </w:footnote>
  <w:footnote w:type="continuationSeparator" w:id="0">
    <w:p w:rsidR="008E793B" w:rsidRDefault="008E79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6F3D"/>
    <w:rsid w:val="000941FE"/>
    <w:rsid w:val="00191B03"/>
    <w:rsid w:val="0043698D"/>
    <w:rsid w:val="00480809"/>
    <w:rsid w:val="00486F5A"/>
    <w:rsid w:val="004E3438"/>
    <w:rsid w:val="00693BFE"/>
    <w:rsid w:val="006A77CA"/>
    <w:rsid w:val="007376DD"/>
    <w:rsid w:val="00746C34"/>
    <w:rsid w:val="008E793B"/>
    <w:rsid w:val="00A865B4"/>
    <w:rsid w:val="00B12F41"/>
    <w:rsid w:val="00BE09B7"/>
    <w:rsid w:val="00C01B4B"/>
    <w:rsid w:val="00C27931"/>
    <w:rsid w:val="00D63EFF"/>
    <w:rsid w:val="00ED19BF"/>
    <w:rsid w:val="00ED6F3D"/>
    <w:rsid w:val="00EF2D5C"/>
    <w:rsid w:val="00FE40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03B17F-2C21-400A-BA10-3A11D742C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標楷體" w:eastAsia="標楷體" w:hAnsi="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文(後續段落)"/>
    <w:basedOn w:val="a"/>
    <w:pPr>
      <w:spacing w:line="500" w:lineRule="exact"/>
      <w:ind w:left="317"/>
    </w:pPr>
    <w:rPr>
      <w:rFonts w:ascii="Times New Roman" w:hAnsi="Times New Roman"/>
      <w:sz w:val="32"/>
      <w:szCs w:val="24"/>
    </w:rPr>
  </w:style>
  <w:style w:type="paragraph" w:styleId="a4">
    <w:name w:val="Balloon Text"/>
    <w:basedOn w:val="a"/>
    <w:semiHidden/>
    <w:rPr>
      <w:rFonts w:ascii="Arial" w:eastAsia="新細明體" w:hAnsi="Arial"/>
      <w:sz w:val="18"/>
      <w:szCs w:val="18"/>
    </w:rPr>
  </w:style>
  <w:style w:type="paragraph" w:styleId="a5">
    <w:name w:val="header"/>
    <w:basedOn w:val="a"/>
    <w:semiHidden/>
    <w:pPr>
      <w:tabs>
        <w:tab w:val="center" w:pos="4153"/>
        <w:tab w:val="right" w:pos="8306"/>
      </w:tabs>
      <w:snapToGrid w:val="0"/>
    </w:pPr>
    <w:rPr>
      <w:sz w:val="20"/>
    </w:rPr>
  </w:style>
  <w:style w:type="paragraph" w:styleId="a6">
    <w:name w:val="footer"/>
    <w:basedOn w:val="a"/>
    <w:semiHidden/>
    <w:pPr>
      <w:tabs>
        <w:tab w:val="center" w:pos="4153"/>
        <w:tab w:val="right" w:pos="8306"/>
      </w:tabs>
      <w:snapToGrid w:val="0"/>
    </w:pPr>
    <w:rPr>
      <w:sz w:val="20"/>
    </w:rPr>
  </w:style>
  <w:style w:type="paragraph" w:styleId="HTML">
    <w:name w:val="HTML Preformatted"/>
    <w:basedOn w:val="a"/>
    <w:semiHid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221</Words>
  <Characters>1260</Characters>
  <Application>Microsoft Office Word</Application>
  <DocSecurity>0</DocSecurity>
  <Lines>10</Lines>
  <Paragraphs>2</Paragraphs>
  <ScaleCrop>false</ScaleCrop>
  <Company>財政部</Company>
  <LinksUpToDate>false</LinksUpToDate>
  <CharactersWithSpaces>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94年度應揭露關係人及關係人交易資料標準（財政部94年12月30日台財稅字第09404587580號令）</dc:title>
  <dc:creator>宋秀玲</dc:creator>
  <cp:lastModifiedBy>劉宗榮(NH17086)</cp:lastModifiedBy>
  <cp:revision>3</cp:revision>
  <cp:lastPrinted>2016-10-21T08:07:00Z</cp:lastPrinted>
  <dcterms:created xsi:type="dcterms:W3CDTF">2016-12-02T08:50:00Z</dcterms:created>
  <dcterms:modified xsi:type="dcterms:W3CDTF">2017-06-23T03:33:00Z</dcterms:modified>
</cp:coreProperties>
</file>