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A15" w:rsidRDefault="00963A15">
      <w:pPr>
        <w:tabs>
          <w:tab w:val="left" w:pos="1620"/>
        </w:tabs>
        <w:spacing w:line="400" w:lineRule="exact"/>
        <w:jc w:val="both"/>
        <w:rPr>
          <w:b/>
          <w:sz w:val="24"/>
        </w:rPr>
      </w:pPr>
      <w:bookmarkStart w:id="0" w:name="_GoBack"/>
      <w:bookmarkEnd w:id="0"/>
      <w:r w:rsidRPr="009D018E">
        <w:rPr>
          <w:b/>
          <w:sz w:val="24"/>
        </w:rPr>
        <w:t>填表説明：</w:t>
      </w:r>
    </w:p>
    <w:p w:rsidR="009D018E" w:rsidRPr="009D018E" w:rsidRDefault="009D018E">
      <w:pPr>
        <w:tabs>
          <w:tab w:val="left" w:pos="1620"/>
        </w:tabs>
        <w:spacing w:line="400" w:lineRule="exact"/>
        <w:jc w:val="both"/>
        <w:rPr>
          <w:b/>
          <w:sz w:val="24"/>
        </w:rPr>
      </w:pPr>
    </w:p>
    <w:p w:rsidR="00963A15" w:rsidRDefault="00963A15">
      <w:pPr>
        <w:numPr>
          <w:ilvl w:val="0"/>
          <w:numId w:val="3"/>
        </w:numPr>
        <w:spacing w:line="400" w:lineRule="exact"/>
        <w:rPr>
          <w:sz w:val="24"/>
        </w:rPr>
      </w:pPr>
      <w:r>
        <w:rPr>
          <w:sz w:val="24"/>
        </w:rPr>
        <w:t>營利事業本年度符合揭露標準</w:t>
      </w:r>
      <w:proofErr w:type="gramStart"/>
      <w:r>
        <w:rPr>
          <w:sz w:val="24"/>
        </w:rPr>
        <w:t>（</w:t>
      </w:r>
      <w:proofErr w:type="gramEnd"/>
      <w:r>
        <w:rPr>
          <w:b/>
          <w:bCs/>
          <w:sz w:val="24"/>
        </w:rPr>
        <w:t>請詳第</w:t>
      </w:r>
      <w:r w:rsidR="00190D8C" w:rsidRPr="007522BB">
        <w:rPr>
          <w:rFonts w:hint="eastAsia"/>
          <w:b/>
          <w:bCs/>
          <w:sz w:val="24"/>
        </w:rPr>
        <w:t>B2</w:t>
      </w:r>
      <w:r>
        <w:rPr>
          <w:b/>
          <w:bCs/>
          <w:sz w:val="24"/>
        </w:rPr>
        <w:t>頁背面</w:t>
      </w:r>
      <w:r>
        <w:rPr>
          <w:rFonts w:hint="eastAsia"/>
          <w:b/>
          <w:bCs/>
          <w:sz w:val="24"/>
        </w:rPr>
        <w:t>：壹</w:t>
      </w:r>
      <w:proofErr w:type="gramStart"/>
      <w:r>
        <w:rPr>
          <w:sz w:val="24"/>
        </w:rPr>
        <w:t>）</w:t>
      </w:r>
      <w:proofErr w:type="gramEnd"/>
      <w:r>
        <w:rPr>
          <w:sz w:val="24"/>
        </w:rPr>
        <w:t>第一點</w:t>
      </w:r>
      <w:r>
        <w:rPr>
          <w:rFonts w:hint="eastAsia"/>
          <w:color w:val="000000"/>
          <w:sz w:val="24"/>
        </w:rPr>
        <w:t>及</w:t>
      </w:r>
      <w:r>
        <w:rPr>
          <w:sz w:val="24"/>
        </w:rPr>
        <w:t>第二點規定</w:t>
      </w:r>
      <w:r>
        <w:rPr>
          <w:rFonts w:hint="eastAsia"/>
          <w:sz w:val="24"/>
        </w:rPr>
        <w:t>者</w:t>
      </w:r>
      <w:r>
        <w:rPr>
          <w:sz w:val="24"/>
        </w:rPr>
        <w:t>，應填報本頁關係人交易明細資料。</w:t>
      </w:r>
    </w:p>
    <w:p w:rsidR="00963A15" w:rsidRDefault="00963A15">
      <w:pPr>
        <w:numPr>
          <w:ilvl w:val="0"/>
          <w:numId w:val="3"/>
        </w:numPr>
        <w:spacing w:line="400" w:lineRule="exact"/>
        <w:rPr>
          <w:sz w:val="24"/>
          <w:szCs w:val="40"/>
        </w:rPr>
      </w:pPr>
      <w:r>
        <w:rPr>
          <w:sz w:val="24"/>
          <w:szCs w:val="40"/>
        </w:rPr>
        <w:t>「</w:t>
      </w:r>
      <w:r>
        <w:rPr>
          <w:rFonts w:hint="eastAsia"/>
          <w:sz w:val="24"/>
          <w:szCs w:val="40"/>
        </w:rPr>
        <w:t>1.</w:t>
      </w:r>
      <w:r>
        <w:rPr>
          <w:sz w:val="24"/>
        </w:rPr>
        <w:t>是否屬應備妥移轉訂價報告之營利事業</w:t>
      </w:r>
      <w:r>
        <w:rPr>
          <w:rFonts w:hint="eastAsia"/>
          <w:sz w:val="24"/>
        </w:rPr>
        <w:t>？</w:t>
      </w:r>
      <w:r>
        <w:rPr>
          <w:sz w:val="24"/>
          <w:szCs w:val="40"/>
        </w:rPr>
        <w:t>」欄，請依下列說明填寫：</w:t>
      </w:r>
    </w:p>
    <w:p w:rsidR="00963A15" w:rsidRDefault="00963A15">
      <w:pPr>
        <w:spacing w:line="400" w:lineRule="exact"/>
        <w:ind w:leftChars="192" w:left="538"/>
        <w:rPr>
          <w:sz w:val="24"/>
          <w:szCs w:val="40"/>
        </w:rPr>
      </w:pPr>
      <w:r>
        <w:rPr>
          <w:sz w:val="24"/>
          <w:szCs w:val="40"/>
        </w:rPr>
        <w:t>營利事業因</w:t>
      </w:r>
      <w:r>
        <w:rPr>
          <w:sz w:val="24"/>
          <w:szCs w:val="32"/>
        </w:rPr>
        <w:t>有下列情形之一，而</w:t>
      </w:r>
      <w:r>
        <w:rPr>
          <w:sz w:val="24"/>
          <w:szCs w:val="40"/>
        </w:rPr>
        <w:t>依財政部</w:t>
      </w:r>
      <w:r>
        <w:rPr>
          <w:rFonts w:hint="eastAsia"/>
          <w:sz w:val="24"/>
          <w:szCs w:val="40"/>
        </w:rPr>
        <w:t>97</w:t>
      </w:r>
      <w:r>
        <w:rPr>
          <w:sz w:val="24"/>
          <w:szCs w:val="40"/>
        </w:rPr>
        <w:t>年</w:t>
      </w:r>
      <w:r>
        <w:rPr>
          <w:rFonts w:hint="eastAsia"/>
          <w:sz w:val="24"/>
          <w:szCs w:val="40"/>
        </w:rPr>
        <w:t>11</w:t>
      </w:r>
      <w:r>
        <w:rPr>
          <w:sz w:val="24"/>
          <w:szCs w:val="40"/>
        </w:rPr>
        <w:t>月</w:t>
      </w:r>
      <w:r>
        <w:rPr>
          <w:rFonts w:hint="eastAsia"/>
          <w:sz w:val="24"/>
          <w:szCs w:val="40"/>
        </w:rPr>
        <w:t>6</w:t>
      </w:r>
      <w:r>
        <w:rPr>
          <w:sz w:val="24"/>
          <w:szCs w:val="40"/>
        </w:rPr>
        <w:t>日台財稅</w:t>
      </w:r>
      <w:r>
        <w:rPr>
          <w:rFonts w:hint="eastAsia"/>
          <w:sz w:val="24"/>
          <w:szCs w:val="40"/>
        </w:rPr>
        <w:t>字第09704555160</w:t>
      </w:r>
      <w:r>
        <w:rPr>
          <w:sz w:val="24"/>
          <w:szCs w:val="40"/>
        </w:rPr>
        <w:t>號</w:t>
      </w:r>
      <w:r>
        <w:rPr>
          <w:rFonts w:hint="eastAsia"/>
          <w:sz w:val="24"/>
          <w:szCs w:val="40"/>
        </w:rPr>
        <w:t>令第一點</w:t>
      </w:r>
      <w:r>
        <w:rPr>
          <w:sz w:val="24"/>
          <w:szCs w:val="40"/>
        </w:rPr>
        <w:t>規定，</w:t>
      </w:r>
      <w:r>
        <w:rPr>
          <w:sz w:val="24"/>
          <w:szCs w:val="32"/>
        </w:rPr>
        <w:t>以其他足資證明其訂價結果符合常規交易結果之文據取代</w:t>
      </w:r>
      <w:r>
        <w:rPr>
          <w:rFonts w:hint="eastAsia"/>
          <w:sz w:val="24"/>
          <w:szCs w:val="32"/>
        </w:rPr>
        <w:t>營利事業所得稅不合常規移轉訂價查核準則（以下簡稱移轉訂價查核準則）第22</w:t>
      </w:r>
      <w:r>
        <w:rPr>
          <w:sz w:val="24"/>
          <w:szCs w:val="32"/>
        </w:rPr>
        <w:t>條第1項第4款規定之移轉訂價報告者，請勾「否」，其餘請勾「是」：</w:t>
      </w:r>
    </w:p>
    <w:p w:rsidR="00963A15" w:rsidRDefault="00963A15">
      <w:pPr>
        <w:pStyle w:val="a4"/>
        <w:numPr>
          <w:ilvl w:val="1"/>
          <w:numId w:val="4"/>
        </w:numPr>
        <w:kinsoku w:val="0"/>
        <w:spacing w:line="400" w:lineRule="exact"/>
        <w:ind w:hanging="757"/>
        <w:jc w:val="both"/>
        <w:rPr>
          <w:rFonts w:ascii="標楷體" w:hAnsi="標楷體"/>
          <w:sz w:val="24"/>
          <w:szCs w:val="32"/>
        </w:rPr>
      </w:pPr>
      <w:r>
        <w:rPr>
          <w:rFonts w:ascii="標楷體" w:hAnsi="標楷體"/>
          <w:sz w:val="24"/>
          <w:szCs w:val="32"/>
        </w:rPr>
        <w:t>全年營業收入淨額及非營業收入合計數(以下簡稱收入總額)未達新臺幣</w:t>
      </w:r>
      <w:r>
        <w:rPr>
          <w:rFonts w:ascii="標楷體" w:hAnsi="標楷體" w:hint="eastAsia"/>
          <w:sz w:val="24"/>
          <w:szCs w:val="32"/>
        </w:rPr>
        <w:t>3</w:t>
      </w:r>
      <w:r>
        <w:rPr>
          <w:rFonts w:ascii="標楷體" w:hAnsi="標楷體"/>
          <w:sz w:val="24"/>
          <w:szCs w:val="32"/>
        </w:rPr>
        <w:t>億元。</w:t>
      </w:r>
    </w:p>
    <w:p w:rsidR="00963A15" w:rsidRDefault="00963A15">
      <w:pPr>
        <w:pStyle w:val="a4"/>
        <w:numPr>
          <w:ilvl w:val="1"/>
          <w:numId w:val="4"/>
        </w:numPr>
        <w:kinsoku w:val="0"/>
        <w:spacing w:line="400" w:lineRule="exact"/>
        <w:ind w:hanging="757"/>
        <w:jc w:val="both"/>
        <w:rPr>
          <w:rFonts w:ascii="標楷體" w:hAnsi="標楷體"/>
          <w:sz w:val="24"/>
          <w:szCs w:val="32"/>
        </w:rPr>
      </w:pPr>
      <w:r>
        <w:rPr>
          <w:rFonts w:ascii="標楷體" w:hAnsi="標楷體"/>
          <w:sz w:val="24"/>
          <w:szCs w:val="32"/>
        </w:rPr>
        <w:t>全年收入總額在新臺幣</w:t>
      </w:r>
      <w:r>
        <w:rPr>
          <w:rFonts w:ascii="標楷體" w:hAnsi="標楷體" w:hint="eastAsia"/>
          <w:sz w:val="24"/>
          <w:szCs w:val="32"/>
        </w:rPr>
        <w:t>3</w:t>
      </w:r>
      <w:r>
        <w:rPr>
          <w:rFonts w:ascii="標楷體" w:hAnsi="標楷體"/>
          <w:sz w:val="24"/>
          <w:szCs w:val="32"/>
        </w:rPr>
        <w:t>億元以上，但未達新臺幣</w:t>
      </w:r>
      <w:r>
        <w:rPr>
          <w:rFonts w:ascii="標楷體" w:hAnsi="標楷體" w:hint="eastAsia"/>
          <w:sz w:val="24"/>
          <w:szCs w:val="32"/>
        </w:rPr>
        <w:t>5</w:t>
      </w:r>
      <w:r>
        <w:rPr>
          <w:rFonts w:ascii="標楷體" w:hAnsi="標楷體"/>
          <w:sz w:val="24"/>
          <w:szCs w:val="32"/>
        </w:rPr>
        <w:t>億元，且同時符合下列規定者：</w:t>
      </w:r>
    </w:p>
    <w:p w:rsidR="00963A15" w:rsidRDefault="00963A15">
      <w:pPr>
        <w:pStyle w:val="a4"/>
        <w:numPr>
          <w:ilvl w:val="2"/>
          <w:numId w:val="4"/>
        </w:numPr>
        <w:kinsoku w:val="0"/>
        <w:spacing w:line="400" w:lineRule="exact"/>
        <w:ind w:left="1372" w:hanging="485"/>
        <w:jc w:val="both"/>
        <w:rPr>
          <w:rFonts w:ascii="標楷體" w:hAnsi="標楷體"/>
          <w:sz w:val="24"/>
          <w:szCs w:val="32"/>
        </w:rPr>
      </w:pPr>
      <w:r>
        <w:rPr>
          <w:rFonts w:ascii="標楷體" w:hAnsi="標楷體"/>
          <w:sz w:val="24"/>
          <w:szCs w:val="32"/>
        </w:rPr>
        <w:t>未享有租稅減免優惠，且未依法申報扣除前</w:t>
      </w:r>
      <w:r w:rsidR="007663A5" w:rsidRPr="003C2C14">
        <w:rPr>
          <w:rFonts w:ascii="標楷體" w:hAnsi="標楷體" w:hint="eastAsia"/>
          <w:sz w:val="24"/>
          <w:szCs w:val="32"/>
        </w:rPr>
        <w:t>10</w:t>
      </w:r>
      <w:r w:rsidRPr="003C2C14">
        <w:rPr>
          <w:rFonts w:ascii="標楷體" w:hAnsi="標楷體"/>
          <w:sz w:val="24"/>
          <w:szCs w:val="32"/>
        </w:rPr>
        <w:t>年虧損。但營利事業依法申報實際抵減當年度營利事業所得稅結算申報應納稅額及前1年度未分配盈餘申報應加徵稅額之金額合計在新臺幣</w:t>
      </w:r>
      <w:r w:rsidRPr="003C2C14">
        <w:rPr>
          <w:rFonts w:ascii="標楷體" w:hAnsi="標楷體" w:hint="eastAsia"/>
          <w:sz w:val="24"/>
          <w:szCs w:val="32"/>
        </w:rPr>
        <w:t>2</w:t>
      </w:r>
      <w:r w:rsidRPr="003C2C14">
        <w:rPr>
          <w:rFonts w:ascii="標楷體" w:hAnsi="標楷體"/>
          <w:sz w:val="24"/>
          <w:szCs w:val="32"/>
        </w:rPr>
        <w:t>百萬元以下，或依法實際申報扣除之前</w:t>
      </w:r>
      <w:r w:rsidR="007663A5" w:rsidRPr="003C2C14">
        <w:rPr>
          <w:rFonts w:ascii="標楷體" w:hAnsi="標楷體" w:hint="eastAsia"/>
          <w:sz w:val="24"/>
          <w:szCs w:val="32"/>
        </w:rPr>
        <w:t>10</w:t>
      </w:r>
      <w:r w:rsidRPr="003C2C14">
        <w:rPr>
          <w:rFonts w:ascii="標楷體" w:hAnsi="標楷體"/>
          <w:sz w:val="24"/>
          <w:szCs w:val="32"/>
        </w:rPr>
        <w:t>年</w:t>
      </w:r>
      <w:r>
        <w:rPr>
          <w:rFonts w:ascii="標楷體" w:hAnsi="標楷體"/>
          <w:sz w:val="24"/>
          <w:szCs w:val="32"/>
        </w:rPr>
        <w:t>虧損金額在新臺幣</w:t>
      </w:r>
      <w:r>
        <w:rPr>
          <w:rFonts w:ascii="標楷體" w:hAnsi="標楷體" w:hint="eastAsia"/>
          <w:sz w:val="24"/>
          <w:szCs w:val="32"/>
        </w:rPr>
        <w:t>8</w:t>
      </w:r>
      <w:r>
        <w:rPr>
          <w:rFonts w:ascii="標楷體" w:hAnsi="標楷體"/>
          <w:sz w:val="24"/>
          <w:szCs w:val="32"/>
        </w:rPr>
        <w:t>百萬元以下者，不在此限。</w:t>
      </w:r>
    </w:p>
    <w:p w:rsidR="00963A15" w:rsidRDefault="00963A15">
      <w:pPr>
        <w:pStyle w:val="a4"/>
        <w:numPr>
          <w:ilvl w:val="2"/>
          <w:numId w:val="4"/>
        </w:numPr>
        <w:kinsoku w:val="0"/>
        <w:spacing w:line="400" w:lineRule="exact"/>
        <w:ind w:left="1358" w:hanging="471"/>
        <w:jc w:val="both"/>
        <w:rPr>
          <w:rFonts w:ascii="標楷體" w:hAnsi="標楷體"/>
          <w:sz w:val="24"/>
          <w:szCs w:val="32"/>
        </w:rPr>
      </w:pPr>
      <w:r>
        <w:rPr>
          <w:rFonts w:ascii="標楷體" w:hAnsi="標楷體"/>
          <w:sz w:val="24"/>
          <w:szCs w:val="32"/>
        </w:rPr>
        <w:t>金融控股公司或企業</w:t>
      </w:r>
      <w:proofErr w:type="gramStart"/>
      <w:r>
        <w:rPr>
          <w:rFonts w:ascii="標楷體" w:hAnsi="標楷體"/>
          <w:sz w:val="24"/>
          <w:szCs w:val="32"/>
        </w:rPr>
        <w:t>併購法</w:t>
      </w:r>
      <w:proofErr w:type="gramEnd"/>
      <w:r>
        <w:rPr>
          <w:rFonts w:ascii="標楷體" w:hAnsi="標楷體"/>
          <w:sz w:val="24"/>
          <w:szCs w:val="32"/>
        </w:rPr>
        <w:t>規定之公司或其子公司，未</w:t>
      </w:r>
      <w:r>
        <w:rPr>
          <w:rFonts w:ascii="標楷體" w:hAnsi="標楷體" w:hint="eastAsia"/>
          <w:sz w:val="24"/>
          <w:szCs w:val="32"/>
        </w:rPr>
        <w:t>與</w:t>
      </w:r>
      <w:r>
        <w:rPr>
          <w:rFonts w:ascii="標楷體" w:hAnsi="標楷體"/>
          <w:sz w:val="24"/>
          <w:szCs w:val="32"/>
        </w:rPr>
        <w:t>中華民國境外之關係人(包括總機構及分支機構)</w:t>
      </w:r>
      <w:r>
        <w:rPr>
          <w:rFonts w:ascii="標楷體" w:hAnsi="標楷體" w:hint="eastAsia"/>
          <w:sz w:val="24"/>
          <w:szCs w:val="32"/>
        </w:rPr>
        <w:t>交易者</w:t>
      </w:r>
      <w:r>
        <w:rPr>
          <w:rFonts w:ascii="標楷體" w:hAnsi="標楷體"/>
          <w:sz w:val="24"/>
          <w:szCs w:val="32"/>
        </w:rPr>
        <w:t>；其他營利事業，未</w:t>
      </w:r>
      <w:r>
        <w:rPr>
          <w:rFonts w:ascii="標楷體" w:hAnsi="標楷體" w:hint="eastAsia"/>
          <w:sz w:val="24"/>
          <w:szCs w:val="32"/>
        </w:rPr>
        <w:t>與</w:t>
      </w:r>
      <w:r>
        <w:rPr>
          <w:rFonts w:ascii="標楷體" w:hAnsi="標楷體"/>
          <w:sz w:val="24"/>
          <w:szCs w:val="32"/>
        </w:rPr>
        <w:t>中華民國境外之關係企業(包括總機構及分支機構)</w:t>
      </w:r>
      <w:r>
        <w:rPr>
          <w:rFonts w:ascii="標楷體" w:hAnsi="標楷體" w:hint="eastAsia"/>
          <w:sz w:val="24"/>
          <w:szCs w:val="32"/>
        </w:rPr>
        <w:t xml:space="preserve"> 交易者</w:t>
      </w:r>
      <w:r>
        <w:rPr>
          <w:rFonts w:ascii="標楷體" w:hAnsi="標楷體"/>
          <w:sz w:val="24"/>
          <w:szCs w:val="32"/>
        </w:rPr>
        <w:t>。</w:t>
      </w:r>
    </w:p>
    <w:p w:rsidR="00963A15" w:rsidRDefault="00963A15">
      <w:pPr>
        <w:pStyle w:val="a4"/>
        <w:numPr>
          <w:ilvl w:val="1"/>
          <w:numId w:val="4"/>
        </w:numPr>
        <w:kinsoku w:val="0"/>
        <w:spacing w:line="400" w:lineRule="exact"/>
        <w:ind w:hanging="757"/>
        <w:jc w:val="both"/>
        <w:rPr>
          <w:rFonts w:ascii="標楷體" w:hAnsi="標楷體"/>
          <w:sz w:val="24"/>
          <w:szCs w:val="40"/>
        </w:rPr>
      </w:pPr>
      <w:r>
        <w:rPr>
          <w:rFonts w:ascii="標楷體" w:hAnsi="標楷體"/>
          <w:sz w:val="24"/>
        </w:rPr>
        <w:t>不</w:t>
      </w:r>
      <w:r>
        <w:rPr>
          <w:rFonts w:ascii="標楷體" w:hAnsi="標楷體"/>
          <w:sz w:val="24"/>
          <w:szCs w:val="32"/>
        </w:rPr>
        <w:t>符合</w:t>
      </w:r>
      <w:r>
        <w:rPr>
          <w:rFonts w:ascii="標楷體" w:hAnsi="標楷體"/>
          <w:sz w:val="24"/>
        </w:rPr>
        <w:t>(</w:t>
      </w:r>
      <w:proofErr w:type="gramStart"/>
      <w:r>
        <w:rPr>
          <w:rFonts w:ascii="標楷體" w:hAnsi="標楷體"/>
          <w:sz w:val="24"/>
        </w:rPr>
        <w:t>一</w:t>
      </w:r>
      <w:proofErr w:type="gramEnd"/>
      <w:r>
        <w:rPr>
          <w:rFonts w:ascii="標楷體" w:hAnsi="標楷體"/>
          <w:sz w:val="24"/>
        </w:rPr>
        <w:t>)、(二)規定，但全年受控交易總額未達新臺幣</w:t>
      </w:r>
      <w:r>
        <w:rPr>
          <w:rFonts w:ascii="標楷體" w:hAnsi="標楷體" w:hint="eastAsia"/>
          <w:sz w:val="24"/>
        </w:rPr>
        <w:t>2</w:t>
      </w:r>
      <w:r>
        <w:rPr>
          <w:rFonts w:ascii="標楷體" w:hAnsi="標楷體"/>
          <w:sz w:val="24"/>
        </w:rPr>
        <w:t>億元。</w:t>
      </w:r>
    </w:p>
    <w:p w:rsidR="00963A15" w:rsidRDefault="00963A15">
      <w:pPr>
        <w:numPr>
          <w:ilvl w:val="0"/>
          <w:numId w:val="3"/>
        </w:numPr>
        <w:spacing w:line="400" w:lineRule="exact"/>
        <w:rPr>
          <w:sz w:val="24"/>
          <w:szCs w:val="40"/>
        </w:rPr>
      </w:pPr>
      <w:r>
        <w:rPr>
          <w:rFonts w:hint="eastAsia"/>
          <w:sz w:val="24"/>
        </w:rPr>
        <w:t>「2.屬應備妥移轉訂價報告者，是否已備妥移轉訂價報告？」欄：已備妥移轉訂價報告者，請勾選「是」；未備妥移轉訂價報告者，請勾選「否」，並說明理由。</w:t>
      </w:r>
    </w:p>
    <w:p w:rsidR="00963A15" w:rsidRDefault="00963A15">
      <w:pPr>
        <w:numPr>
          <w:ilvl w:val="0"/>
          <w:numId w:val="3"/>
        </w:numPr>
        <w:spacing w:line="400" w:lineRule="exact"/>
        <w:rPr>
          <w:sz w:val="24"/>
          <w:szCs w:val="40"/>
        </w:rPr>
      </w:pPr>
      <w:r>
        <w:rPr>
          <w:rFonts w:hint="eastAsia"/>
          <w:sz w:val="24"/>
        </w:rPr>
        <w:t>關係人交易明</w:t>
      </w:r>
      <w:proofErr w:type="gramStart"/>
      <w:r>
        <w:rPr>
          <w:rFonts w:hint="eastAsia"/>
          <w:sz w:val="24"/>
        </w:rPr>
        <w:t>細表</w:t>
      </w:r>
      <w:r>
        <w:rPr>
          <w:sz w:val="24"/>
          <w:szCs w:val="40"/>
        </w:rPr>
        <w:t>請按</w:t>
      </w:r>
      <w:proofErr w:type="gramEnd"/>
      <w:r>
        <w:rPr>
          <w:sz w:val="24"/>
          <w:szCs w:val="40"/>
        </w:rPr>
        <w:t>各關係人別，依移轉訂價查核準則第5條第1項規定之交易類型</w:t>
      </w:r>
      <w:r>
        <w:rPr>
          <w:rFonts w:hint="eastAsia"/>
          <w:sz w:val="24"/>
          <w:szCs w:val="40"/>
        </w:rPr>
        <w:t>，</w:t>
      </w:r>
      <w:r>
        <w:rPr>
          <w:sz w:val="24"/>
          <w:szCs w:val="40"/>
        </w:rPr>
        <w:t>分別填報其交易金額：</w:t>
      </w:r>
    </w:p>
    <w:p w:rsidR="00963A15" w:rsidRDefault="00963A15">
      <w:pPr>
        <w:spacing w:line="400" w:lineRule="exact"/>
        <w:ind w:leftChars="149" w:left="926" w:hangingChars="212" w:hanging="509"/>
        <w:rPr>
          <w:sz w:val="24"/>
          <w:szCs w:val="32"/>
        </w:rPr>
      </w:pPr>
      <w:r>
        <w:rPr>
          <w:sz w:val="24"/>
          <w:szCs w:val="40"/>
        </w:rPr>
        <w:t>(</w:t>
      </w:r>
      <w:proofErr w:type="gramStart"/>
      <w:r>
        <w:rPr>
          <w:sz w:val="24"/>
          <w:szCs w:val="40"/>
        </w:rPr>
        <w:t>一</w:t>
      </w:r>
      <w:proofErr w:type="gramEnd"/>
      <w:r>
        <w:rPr>
          <w:sz w:val="24"/>
          <w:szCs w:val="40"/>
        </w:rPr>
        <w:t>)關係企業交易：</w:t>
      </w:r>
      <w:r>
        <w:rPr>
          <w:sz w:val="24"/>
          <w:szCs w:val="28"/>
        </w:rPr>
        <w:t>與同一關係企業之全年交易總額在新臺幣</w:t>
      </w:r>
      <w:r>
        <w:rPr>
          <w:sz w:val="24"/>
          <w:szCs w:val="32"/>
        </w:rPr>
        <w:t>1千2百萬元以上者，應單獨揭露，其餘得加總</w:t>
      </w:r>
      <w:proofErr w:type="gramStart"/>
      <w:r>
        <w:rPr>
          <w:sz w:val="24"/>
          <w:szCs w:val="32"/>
        </w:rPr>
        <w:t>後彙列之</w:t>
      </w:r>
      <w:proofErr w:type="gramEnd"/>
      <w:r>
        <w:rPr>
          <w:sz w:val="24"/>
          <w:szCs w:val="32"/>
        </w:rPr>
        <w:t>。加</w:t>
      </w:r>
      <w:proofErr w:type="gramStart"/>
      <w:r>
        <w:rPr>
          <w:sz w:val="24"/>
          <w:szCs w:val="32"/>
        </w:rPr>
        <w:t>總彙列之</w:t>
      </w:r>
      <w:proofErr w:type="gramEnd"/>
      <w:r>
        <w:rPr>
          <w:sz w:val="24"/>
          <w:szCs w:val="32"/>
        </w:rPr>
        <w:t>關係企業交易，請於關係人「英文名稱（A2）」欄填寫代號「YY」。</w:t>
      </w:r>
    </w:p>
    <w:p w:rsidR="00963A15" w:rsidRDefault="00963A15">
      <w:pPr>
        <w:spacing w:line="400" w:lineRule="exact"/>
        <w:ind w:leftChars="149" w:left="926" w:hangingChars="212" w:hanging="509"/>
        <w:rPr>
          <w:sz w:val="24"/>
        </w:rPr>
      </w:pPr>
      <w:r>
        <w:rPr>
          <w:sz w:val="24"/>
          <w:szCs w:val="32"/>
        </w:rPr>
        <w:t>(二)關係企業以外之關係人交易：</w:t>
      </w:r>
      <w:r>
        <w:rPr>
          <w:sz w:val="24"/>
          <w:szCs w:val="28"/>
        </w:rPr>
        <w:t>與同一關係企業以外之關係人之全年交易總額在新臺幣6百萬元以上者</w:t>
      </w:r>
      <w:r>
        <w:rPr>
          <w:sz w:val="24"/>
          <w:szCs w:val="32"/>
        </w:rPr>
        <w:t>，應單獨揭露，其餘得加總</w:t>
      </w:r>
      <w:proofErr w:type="gramStart"/>
      <w:r>
        <w:rPr>
          <w:sz w:val="24"/>
          <w:szCs w:val="32"/>
        </w:rPr>
        <w:t>後彙列之</w:t>
      </w:r>
      <w:proofErr w:type="gramEnd"/>
      <w:r>
        <w:rPr>
          <w:sz w:val="24"/>
          <w:szCs w:val="32"/>
        </w:rPr>
        <w:t>。加</w:t>
      </w:r>
      <w:proofErr w:type="gramStart"/>
      <w:r>
        <w:rPr>
          <w:sz w:val="24"/>
          <w:szCs w:val="32"/>
        </w:rPr>
        <w:t>總彙列之</w:t>
      </w:r>
      <w:proofErr w:type="gramEnd"/>
      <w:r>
        <w:rPr>
          <w:sz w:val="24"/>
          <w:szCs w:val="32"/>
        </w:rPr>
        <w:t>關係企業</w:t>
      </w:r>
      <w:r>
        <w:rPr>
          <w:sz w:val="24"/>
          <w:szCs w:val="28"/>
        </w:rPr>
        <w:t>以外之關係人</w:t>
      </w:r>
      <w:r>
        <w:rPr>
          <w:sz w:val="24"/>
          <w:szCs w:val="32"/>
        </w:rPr>
        <w:t>交易，請於關係人「英文名稱（A2）」欄填寫代號「ZZ」。</w:t>
      </w:r>
    </w:p>
    <w:p w:rsidR="00963A15" w:rsidRDefault="00963A15">
      <w:pPr>
        <w:numPr>
          <w:ilvl w:val="0"/>
          <w:numId w:val="3"/>
        </w:numPr>
        <w:spacing w:line="400" w:lineRule="exact"/>
        <w:rPr>
          <w:sz w:val="24"/>
        </w:rPr>
      </w:pPr>
      <w:r>
        <w:rPr>
          <w:sz w:val="24"/>
        </w:rPr>
        <w:t>「與本營利事業之關係代號(G)」請依第</w:t>
      </w:r>
      <w:r w:rsidR="00190D8C" w:rsidRPr="007522BB">
        <w:rPr>
          <w:rFonts w:hint="eastAsia"/>
          <w:sz w:val="24"/>
        </w:rPr>
        <w:t>B3</w:t>
      </w:r>
      <w:r>
        <w:rPr>
          <w:sz w:val="24"/>
        </w:rPr>
        <w:t>頁背面填表說明</w:t>
      </w:r>
      <w:r>
        <w:rPr>
          <w:rFonts w:hint="eastAsia"/>
          <w:sz w:val="24"/>
        </w:rPr>
        <w:t>六</w:t>
      </w:r>
      <w:r>
        <w:rPr>
          <w:sz w:val="24"/>
        </w:rPr>
        <w:t>之關係人代號填寫。</w:t>
      </w:r>
    </w:p>
    <w:p w:rsidR="00963A15" w:rsidRDefault="00963A15">
      <w:pPr>
        <w:numPr>
          <w:ilvl w:val="0"/>
          <w:numId w:val="3"/>
        </w:numPr>
        <w:spacing w:line="400" w:lineRule="exact"/>
        <w:rPr>
          <w:sz w:val="24"/>
          <w:szCs w:val="24"/>
        </w:rPr>
      </w:pPr>
      <w:r>
        <w:rPr>
          <w:sz w:val="24"/>
        </w:rPr>
        <w:t>「國家代碼(B3)」係依國家、屬地或特殊區域等實體名稱編列之2位英文字母碼，</w:t>
      </w:r>
      <w:r>
        <w:rPr>
          <w:sz w:val="24"/>
          <w:szCs w:val="24"/>
        </w:rPr>
        <w:t>請</w:t>
      </w:r>
      <w:r>
        <w:rPr>
          <w:rFonts w:hint="eastAsia"/>
          <w:sz w:val="24"/>
          <w:szCs w:val="24"/>
        </w:rPr>
        <w:t>依申報書之國家代碼表填寫，或至</w:t>
      </w:r>
      <w:r>
        <w:rPr>
          <w:sz w:val="24"/>
          <w:szCs w:val="24"/>
        </w:rPr>
        <w:t>各</w:t>
      </w:r>
      <w:r w:rsidRPr="00497EFF">
        <w:rPr>
          <w:rFonts w:hint="eastAsia"/>
          <w:sz w:val="24"/>
          <w:szCs w:val="24"/>
        </w:rPr>
        <w:t>地區</w:t>
      </w:r>
      <w:r>
        <w:rPr>
          <w:sz w:val="24"/>
          <w:szCs w:val="24"/>
        </w:rPr>
        <w:t>國稅局網站查詢。</w:t>
      </w:r>
    </w:p>
    <w:p w:rsidR="00963A15" w:rsidRDefault="00963A15">
      <w:pPr>
        <w:numPr>
          <w:ilvl w:val="0"/>
          <w:numId w:val="3"/>
        </w:numPr>
        <w:spacing w:line="400" w:lineRule="exact"/>
        <w:rPr>
          <w:sz w:val="24"/>
        </w:rPr>
      </w:pPr>
      <w:r>
        <w:rPr>
          <w:sz w:val="24"/>
        </w:rPr>
        <w:t>關係人資料之「關係人交易年度或最近年度損益資料」欄（即H、I、J、K、L、M、N</w:t>
      </w:r>
      <w:r w:rsidR="004D31DC" w:rsidRPr="00CD64DD">
        <w:rPr>
          <w:sz w:val="24"/>
        </w:rPr>
        <w:t>、</w:t>
      </w:r>
      <w:r w:rsidR="004D31DC" w:rsidRPr="007453F8">
        <w:rPr>
          <w:rFonts w:hint="eastAsia"/>
          <w:sz w:val="24"/>
        </w:rPr>
        <w:t>W</w:t>
      </w:r>
      <w:r>
        <w:rPr>
          <w:sz w:val="24"/>
        </w:rPr>
        <w:t>欄），屬期末直接或間接持有另一營利事業(或由另一營利事業持有)有表決權股份或資本額超過50%之國外關係企業者，方須填報；其損益金額如為外幣，請依平均匯率換算為新臺幣。</w:t>
      </w:r>
    </w:p>
    <w:p w:rsidR="00963A15" w:rsidRDefault="00963A15">
      <w:pPr>
        <w:numPr>
          <w:ilvl w:val="0"/>
          <w:numId w:val="3"/>
        </w:numPr>
        <w:spacing w:line="400" w:lineRule="exact"/>
        <w:rPr>
          <w:sz w:val="24"/>
        </w:rPr>
      </w:pPr>
      <w:r>
        <w:rPr>
          <w:sz w:val="24"/>
        </w:rPr>
        <w:t>「實際交易金額」欄：</w:t>
      </w:r>
    </w:p>
    <w:p w:rsidR="00963A15" w:rsidRDefault="00963A15">
      <w:pPr>
        <w:numPr>
          <w:ilvl w:val="0"/>
          <w:numId w:val="2"/>
        </w:numPr>
        <w:spacing w:line="400" w:lineRule="exact"/>
        <w:rPr>
          <w:sz w:val="24"/>
        </w:rPr>
      </w:pPr>
      <w:r>
        <w:rPr>
          <w:sz w:val="24"/>
        </w:rPr>
        <w:t>指營利事業按交易類型與各關係人帳列實際收付之交易金額，請按收入與支出性質，分別填寫。</w:t>
      </w:r>
    </w:p>
    <w:p w:rsidR="00963A15" w:rsidRDefault="00963A15">
      <w:pPr>
        <w:numPr>
          <w:ilvl w:val="0"/>
          <w:numId w:val="2"/>
        </w:numPr>
        <w:tabs>
          <w:tab w:val="clear" w:pos="878"/>
          <w:tab w:val="num" w:pos="952"/>
        </w:tabs>
        <w:spacing w:line="400" w:lineRule="exact"/>
        <w:ind w:left="952" w:hanging="434"/>
        <w:rPr>
          <w:sz w:val="24"/>
        </w:rPr>
      </w:pPr>
      <w:r>
        <w:rPr>
          <w:sz w:val="24"/>
        </w:rPr>
        <w:t>有形資產及無形資產之移轉，其交易金額，請填寫出售價格或購買價格；有形資產及無形資產之使用，其交易金額，請填寫使用之代價，例如租金、權利金等；服務之提供，其交易金額，請填寫服務提供或使用之代價。</w:t>
      </w:r>
    </w:p>
    <w:p w:rsidR="00963A15" w:rsidRDefault="00963A15">
      <w:pPr>
        <w:numPr>
          <w:ilvl w:val="0"/>
          <w:numId w:val="2"/>
        </w:numPr>
        <w:tabs>
          <w:tab w:val="clear" w:pos="878"/>
        </w:tabs>
        <w:spacing w:line="400" w:lineRule="exact"/>
        <w:ind w:left="952" w:hanging="434"/>
        <w:rPr>
          <w:sz w:val="24"/>
        </w:rPr>
      </w:pPr>
      <w:r>
        <w:rPr>
          <w:sz w:val="24"/>
        </w:rPr>
        <w:t>資金之使用：包括資金借貸、預付款、暫付款、擔保、延期收款或其他安排等金額。屬資金使用者，請填報資金</w:t>
      </w:r>
      <w:r>
        <w:rPr>
          <w:rFonts w:hint="eastAsia"/>
          <w:sz w:val="24"/>
        </w:rPr>
        <w:t>實際使用天數加權平均</w:t>
      </w:r>
      <w:r>
        <w:rPr>
          <w:sz w:val="24"/>
        </w:rPr>
        <w:t>餘額及利息支出金額；屬資金提供者，請填報資金</w:t>
      </w:r>
      <w:r>
        <w:rPr>
          <w:rFonts w:hint="eastAsia"/>
          <w:sz w:val="24"/>
        </w:rPr>
        <w:t>實際提供天數加權平均</w:t>
      </w:r>
      <w:r>
        <w:rPr>
          <w:sz w:val="24"/>
        </w:rPr>
        <w:t>餘額及利息收入金額。</w:t>
      </w:r>
    </w:p>
    <w:p w:rsidR="00963A15" w:rsidRDefault="00963A15">
      <w:pPr>
        <w:numPr>
          <w:ilvl w:val="0"/>
          <w:numId w:val="3"/>
        </w:numPr>
        <w:spacing w:line="400" w:lineRule="exact"/>
        <w:rPr>
          <w:sz w:val="24"/>
        </w:rPr>
      </w:pPr>
      <w:r>
        <w:rPr>
          <w:sz w:val="24"/>
        </w:rPr>
        <w:t>「結算申報交易金額」欄：</w:t>
      </w:r>
    </w:p>
    <w:p w:rsidR="00963A15" w:rsidRDefault="00963A15">
      <w:pPr>
        <w:numPr>
          <w:ilvl w:val="0"/>
          <w:numId w:val="1"/>
        </w:numPr>
        <w:tabs>
          <w:tab w:val="clear" w:pos="945"/>
          <w:tab w:val="num" w:pos="952"/>
        </w:tabs>
        <w:spacing w:line="400" w:lineRule="exact"/>
        <w:ind w:left="980" w:hanging="440"/>
        <w:rPr>
          <w:sz w:val="24"/>
        </w:rPr>
      </w:pPr>
      <w:r>
        <w:rPr>
          <w:sz w:val="24"/>
        </w:rPr>
        <w:t>指營利事業按交易類型與各關係人結算申報收付之交易金額，請按收入與支出性質，分別填寫。</w:t>
      </w:r>
    </w:p>
    <w:p w:rsidR="00963A15" w:rsidRDefault="00963A15">
      <w:pPr>
        <w:numPr>
          <w:ilvl w:val="0"/>
          <w:numId w:val="1"/>
        </w:numPr>
        <w:tabs>
          <w:tab w:val="clear" w:pos="945"/>
          <w:tab w:val="num" w:pos="952"/>
        </w:tabs>
        <w:spacing w:line="400" w:lineRule="exact"/>
        <w:ind w:left="980" w:hanging="440"/>
        <w:rPr>
          <w:sz w:val="24"/>
        </w:rPr>
      </w:pPr>
      <w:r>
        <w:rPr>
          <w:sz w:val="24"/>
        </w:rPr>
        <w:t>各交易類型之填寫方式同</w:t>
      </w:r>
      <w:r>
        <w:rPr>
          <w:rFonts w:hint="eastAsia"/>
          <w:sz w:val="24"/>
        </w:rPr>
        <w:t>八</w:t>
      </w:r>
      <w:r>
        <w:rPr>
          <w:sz w:val="24"/>
        </w:rPr>
        <w:t>。</w:t>
      </w:r>
    </w:p>
    <w:p w:rsidR="00963A15" w:rsidRDefault="00963A15">
      <w:pPr>
        <w:numPr>
          <w:ilvl w:val="0"/>
          <w:numId w:val="3"/>
        </w:numPr>
        <w:spacing w:line="400" w:lineRule="exact"/>
        <w:rPr>
          <w:sz w:val="24"/>
        </w:rPr>
      </w:pPr>
      <w:r>
        <w:rPr>
          <w:sz w:val="24"/>
        </w:rPr>
        <w:t>「是否已備妥移轉訂價文據」欄，請依下列代號之說明填</w:t>
      </w:r>
      <w:r>
        <w:rPr>
          <w:rFonts w:hint="eastAsia"/>
          <w:sz w:val="24"/>
        </w:rPr>
        <w:t>寫</w:t>
      </w:r>
      <w:r>
        <w:rPr>
          <w:sz w:val="24"/>
        </w:rPr>
        <w:t>：</w:t>
      </w:r>
    </w:p>
    <w:p w:rsidR="00963A15" w:rsidRDefault="00963A15">
      <w:pPr>
        <w:tabs>
          <w:tab w:val="left" w:pos="540"/>
        </w:tabs>
        <w:spacing w:line="400" w:lineRule="exact"/>
        <w:ind w:left="540"/>
        <w:rPr>
          <w:sz w:val="24"/>
        </w:rPr>
      </w:pPr>
      <w:r>
        <w:rPr>
          <w:sz w:val="24"/>
        </w:rPr>
        <w:t>a.已</w:t>
      </w:r>
      <w:r>
        <w:rPr>
          <w:rFonts w:hint="eastAsia"/>
          <w:sz w:val="24"/>
        </w:rPr>
        <w:t>納入移轉訂價報告且依移轉訂價查核準則</w:t>
      </w:r>
      <w:r>
        <w:rPr>
          <w:sz w:val="24"/>
        </w:rPr>
        <w:t>進行</w:t>
      </w:r>
      <w:r>
        <w:rPr>
          <w:rFonts w:hint="eastAsia"/>
          <w:sz w:val="24"/>
        </w:rPr>
        <w:t>完整</w:t>
      </w:r>
      <w:r>
        <w:rPr>
          <w:sz w:val="24"/>
        </w:rPr>
        <w:t>移轉訂價分析</w:t>
      </w:r>
      <w:r>
        <w:rPr>
          <w:rFonts w:hint="eastAsia"/>
          <w:sz w:val="24"/>
        </w:rPr>
        <w:t>。</w:t>
      </w:r>
      <w:r>
        <w:rPr>
          <w:sz w:val="24"/>
        </w:rPr>
        <w:t xml:space="preserve"> </w:t>
      </w:r>
    </w:p>
    <w:p w:rsidR="00963A15" w:rsidRPr="007453F8" w:rsidRDefault="00963A15">
      <w:pPr>
        <w:tabs>
          <w:tab w:val="left" w:pos="540"/>
        </w:tabs>
        <w:spacing w:line="400" w:lineRule="exact"/>
        <w:ind w:leftChars="199" w:left="797" w:hangingChars="100" w:hanging="240"/>
        <w:rPr>
          <w:sz w:val="24"/>
        </w:rPr>
      </w:pPr>
      <w:r w:rsidRPr="007453F8">
        <w:rPr>
          <w:sz w:val="24"/>
        </w:rPr>
        <w:t>b.符合</w:t>
      </w:r>
      <w:r w:rsidRPr="007453F8">
        <w:rPr>
          <w:sz w:val="24"/>
          <w:szCs w:val="40"/>
        </w:rPr>
        <w:t>財政部</w:t>
      </w:r>
      <w:r w:rsidRPr="007453F8">
        <w:rPr>
          <w:rFonts w:hint="eastAsia"/>
          <w:sz w:val="24"/>
          <w:szCs w:val="40"/>
        </w:rPr>
        <w:t>97</w:t>
      </w:r>
      <w:r w:rsidRPr="007453F8">
        <w:rPr>
          <w:sz w:val="24"/>
          <w:szCs w:val="40"/>
        </w:rPr>
        <w:t>年</w:t>
      </w:r>
      <w:r w:rsidRPr="007453F8">
        <w:rPr>
          <w:rFonts w:hint="eastAsia"/>
          <w:sz w:val="24"/>
          <w:szCs w:val="40"/>
        </w:rPr>
        <w:t>11</w:t>
      </w:r>
      <w:r w:rsidRPr="007453F8">
        <w:rPr>
          <w:sz w:val="24"/>
          <w:szCs w:val="40"/>
        </w:rPr>
        <w:t>月</w:t>
      </w:r>
      <w:r w:rsidRPr="007453F8">
        <w:rPr>
          <w:rFonts w:hint="eastAsia"/>
          <w:sz w:val="24"/>
          <w:szCs w:val="40"/>
        </w:rPr>
        <w:t>6</w:t>
      </w:r>
      <w:r w:rsidRPr="007453F8">
        <w:rPr>
          <w:sz w:val="24"/>
          <w:szCs w:val="40"/>
        </w:rPr>
        <w:t>日台財稅</w:t>
      </w:r>
      <w:r w:rsidRPr="007453F8">
        <w:rPr>
          <w:rFonts w:hint="eastAsia"/>
          <w:sz w:val="24"/>
          <w:szCs w:val="40"/>
        </w:rPr>
        <w:t>字第09704555160</w:t>
      </w:r>
      <w:r w:rsidRPr="007453F8">
        <w:rPr>
          <w:sz w:val="24"/>
          <w:szCs w:val="40"/>
        </w:rPr>
        <w:t>號</w:t>
      </w:r>
      <w:r w:rsidRPr="007453F8">
        <w:rPr>
          <w:rFonts w:hint="eastAsia"/>
          <w:sz w:val="24"/>
          <w:szCs w:val="40"/>
        </w:rPr>
        <w:t>令</w:t>
      </w:r>
      <w:r w:rsidRPr="007453F8">
        <w:rPr>
          <w:sz w:val="24"/>
          <w:szCs w:val="40"/>
        </w:rPr>
        <w:t>規定</w:t>
      </w:r>
      <w:r w:rsidRPr="007453F8">
        <w:rPr>
          <w:sz w:val="24"/>
        </w:rPr>
        <w:t>之「得以其他文據取代移轉訂價報告之受控交易標準」</w:t>
      </w:r>
      <w:r w:rsidR="00CD64DD" w:rsidRPr="007453F8">
        <w:rPr>
          <w:rFonts w:hint="eastAsia"/>
          <w:sz w:val="24"/>
        </w:rPr>
        <w:t>及104年2月2日台財稅字第10304578300號令規定</w:t>
      </w:r>
      <w:r w:rsidR="00CD64DD" w:rsidRPr="007453F8">
        <w:rPr>
          <w:sz w:val="24"/>
        </w:rPr>
        <w:t>且</w:t>
      </w:r>
      <w:r w:rsidRPr="007453F8">
        <w:rPr>
          <w:sz w:val="24"/>
        </w:rPr>
        <w:t>已備妥</w:t>
      </w:r>
      <w:proofErr w:type="gramStart"/>
      <w:r w:rsidRPr="007453F8">
        <w:rPr>
          <w:rFonts w:hint="eastAsia"/>
          <w:sz w:val="24"/>
        </w:rPr>
        <w:t>同令</w:t>
      </w:r>
      <w:proofErr w:type="gramEnd"/>
      <w:r w:rsidRPr="007453F8">
        <w:rPr>
          <w:rFonts w:hint="eastAsia"/>
          <w:sz w:val="24"/>
        </w:rPr>
        <w:t>規定之</w:t>
      </w:r>
      <w:r w:rsidRPr="007453F8">
        <w:rPr>
          <w:sz w:val="24"/>
        </w:rPr>
        <w:t xml:space="preserve">其他文據。 </w:t>
      </w:r>
    </w:p>
    <w:p w:rsidR="00963A15" w:rsidRDefault="00963A15">
      <w:pPr>
        <w:tabs>
          <w:tab w:val="left" w:pos="540"/>
        </w:tabs>
        <w:spacing w:line="400" w:lineRule="exact"/>
        <w:ind w:leftChars="191" w:left="537" w:hanging="2"/>
        <w:rPr>
          <w:sz w:val="24"/>
        </w:rPr>
      </w:pPr>
      <w:r>
        <w:rPr>
          <w:sz w:val="24"/>
        </w:rPr>
        <w:t>c.未進行</w:t>
      </w:r>
      <w:r>
        <w:rPr>
          <w:rFonts w:hint="eastAsia"/>
          <w:sz w:val="24"/>
        </w:rPr>
        <w:t>完整</w:t>
      </w:r>
      <w:r>
        <w:rPr>
          <w:sz w:val="24"/>
        </w:rPr>
        <w:t>移轉訂價分析</w:t>
      </w:r>
      <w:r>
        <w:rPr>
          <w:rFonts w:hint="eastAsia"/>
          <w:sz w:val="24"/>
        </w:rPr>
        <w:t>且</w:t>
      </w:r>
      <w:r>
        <w:rPr>
          <w:sz w:val="24"/>
        </w:rPr>
        <w:t>未備妥</w:t>
      </w:r>
      <w:proofErr w:type="gramStart"/>
      <w:r>
        <w:rPr>
          <w:rFonts w:hint="eastAsia"/>
          <w:sz w:val="24"/>
        </w:rPr>
        <w:t>同令</w:t>
      </w:r>
      <w:proofErr w:type="gramEnd"/>
      <w:r>
        <w:rPr>
          <w:rFonts w:hint="eastAsia"/>
          <w:sz w:val="24"/>
        </w:rPr>
        <w:t>規定之</w:t>
      </w:r>
      <w:r>
        <w:rPr>
          <w:sz w:val="24"/>
        </w:rPr>
        <w:t>其他文據。</w:t>
      </w:r>
    </w:p>
    <w:p w:rsidR="00963A15" w:rsidRDefault="00963A15">
      <w:pPr>
        <w:tabs>
          <w:tab w:val="left" w:pos="540"/>
        </w:tabs>
        <w:spacing w:line="400" w:lineRule="exact"/>
        <w:ind w:leftChars="190" w:left="772" w:hangingChars="100" w:hanging="240"/>
        <w:rPr>
          <w:b/>
          <w:bCs/>
          <w:color w:val="000000"/>
          <w:sz w:val="24"/>
        </w:rPr>
      </w:pPr>
      <w:r>
        <w:rPr>
          <w:rFonts w:hint="eastAsia"/>
          <w:sz w:val="24"/>
        </w:rPr>
        <w:t>d.其他</w:t>
      </w:r>
      <w:r>
        <w:rPr>
          <w:rFonts w:hint="eastAsia"/>
          <w:color w:val="000000"/>
          <w:sz w:val="24"/>
        </w:rPr>
        <w:t>（含已</w:t>
      </w:r>
      <w:r>
        <w:rPr>
          <w:rFonts w:hint="eastAsia"/>
          <w:color w:val="000000"/>
          <w:sz w:val="24"/>
          <w:szCs w:val="32"/>
        </w:rPr>
        <w:t>依營利事業所得稅不合常規移轉訂價查核準則第22條第2項規定向</w:t>
      </w:r>
      <w:proofErr w:type="gramStart"/>
      <w:r>
        <w:rPr>
          <w:rFonts w:hint="eastAsia"/>
          <w:color w:val="000000"/>
          <w:sz w:val="24"/>
          <w:szCs w:val="32"/>
        </w:rPr>
        <w:t>稽</w:t>
      </w:r>
      <w:proofErr w:type="gramEnd"/>
      <w:r>
        <w:rPr>
          <w:rFonts w:hint="eastAsia"/>
          <w:color w:val="000000"/>
          <w:sz w:val="24"/>
          <w:szCs w:val="32"/>
        </w:rPr>
        <w:t>徵機關申請確認</w:t>
      </w:r>
      <w:r>
        <w:rPr>
          <w:rFonts w:hint="eastAsia"/>
          <w:color w:val="000000"/>
          <w:sz w:val="24"/>
        </w:rPr>
        <w:t>或依</w:t>
      </w:r>
      <w:r w:rsidR="00C0706B" w:rsidRPr="00E223B2">
        <w:rPr>
          <w:rFonts w:hint="eastAsia"/>
          <w:sz w:val="24"/>
        </w:rPr>
        <w:t>財政部</w:t>
      </w:r>
      <w:r>
        <w:rPr>
          <w:rFonts w:hint="eastAsia"/>
          <w:color w:val="000000"/>
          <w:sz w:val="24"/>
          <w:szCs w:val="32"/>
        </w:rPr>
        <w:t>97年11月7日台財稅字第09704555180號令規定無須備妥文據者</w:t>
      </w:r>
      <w:r>
        <w:rPr>
          <w:rFonts w:hint="eastAsia"/>
          <w:color w:val="000000"/>
          <w:sz w:val="24"/>
        </w:rPr>
        <w:t>）。</w:t>
      </w:r>
    </w:p>
    <w:p w:rsidR="00963A15" w:rsidRDefault="00963A15">
      <w:pPr>
        <w:spacing w:line="400" w:lineRule="exact"/>
        <w:ind w:left="462" w:firstLine="78"/>
        <w:rPr>
          <w:color w:val="000000"/>
          <w:sz w:val="24"/>
        </w:rPr>
      </w:pPr>
    </w:p>
    <w:p w:rsidR="00963A15" w:rsidRDefault="00963A15">
      <w:pPr>
        <w:tabs>
          <w:tab w:val="left" w:pos="1620"/>
        </w:tabs>
        <w:spacing w:line="400" w:lineRule="exact"/>
        <w:jc w:val="both"/>
        <w:rPr>
          <w:sz w:val="24"/>
        </w:rPr>
      </w:pPr>
    </w:p>
    <w:p w:rsidR="00963A15" w:rsidRDefault="00963A15"/>
    <w:sectPr w:rsidR="00963A15">
      <w:footerReference w:type="default" r:id="rId8"/>
      <w:pgSz w:w="16840" w:h="23814" w:code="8"/>
      <w:pgMar w:top="1418" w:right="1644" w:bottom="1418" w:left="164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B13" w:rsidRDefault="00585B13">
      <w:r>
        <w:separator/>
      </w:r>
    </w:p>
  </w:endnote>
  <w:endnote w:type="continuationSeparator" w:id="0">
    <w:p w:rsidR="00585B13" w:rsidRDefault="0058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A15" w:rsidRDefault="00963A15">
    <w:pPr>
      <w:pStyle w:val="a3"/>
      <w:jc w:val="center"/>
      <w:rPr>
        <w:sz w:val="24"/>
      </w:rPr>
    </w:pPr>
    <w:r>
      <w:rPr>
        <w:rFonts w:hint="eastAsia"/>
        <w:sz w:val="24"/>
      </w:rPr>
      <w:t>(第</w:t>
    </w:r>
    <w:r w:rsidR="00190D8C">
      <w:rPr>
        <w:rFonts w:hint="eastAsia"/>
        <w:sz w:val="24"/>
      </w:rPr>
      <w:t>B5</w:t>
    </w:r>
    <w:r>
      <w:rPr>
        <w:rFonts w:hint="eastAsia"/>
        <w:sz w:val="24"/>
      </w:rPr>
      <w:t>頁背面)</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B13" w:rsidRDefault="00585B13">
      <w:r>
        <w:separator/>
      </w:r>
    </w:p>
  </w:footnote>
  <w:footnote w:type="continuationSeparator" w:id="0">
    <w:p w:rsidR="00585B13" w:rsidRDefault="00585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605F"/>
    <w:multiLevelType w:val="multilevel"/>
    <w:tmpl w:val="BEAA09AE"/>
    <w:lvl w:ilvl="0">
      <w:start w:val="1"/>
      <w:numFmt w:val="taiwaneseCountingThousand"/>
      <w:suff w:val="nothing"/>
      <w:lvlText w:val="%1、"/>
      <w:lvlJc w:val="left"/>
      <w:pPr>
        <w:tabs>
          <w:tab w:val="num" w:pos="720"/>
        </w:tabs>
        <w:ind w:left="958" w:hanging="641"/>
      </w:pPr>
      <w:rPr>
        <w:lang w:val="en-US"/>
      </w:rPr>
    </w:lvl>
    <w:lvl w:ilvl="1">
      <w:start w:val="1"/>
      <w:numFmt w:val="taiwaneseCountingThousand"/>
      <w:suff w:val="nothing"/>
      <w:lvlText w:val="(%2)"/>
      <w:lvlJc w:val="left"/>
      <w:pPr>
        <w:tabs>
          <w:tab w:val="num" w:pos="992"/>
        </w:tabs>
        <w:ind w:left="1247" w:hanging="510"/>
      </w:pPr>
    </w:lvl>
    <w:lvl w:ilvl="2">
      <w:start w:val="1"/>
      <w:numFmt w:val="decimalFullWidth"/>
      <w:suff w:val="nothing"/>
      <w:lvlText w:val="%3、"/>
      <w:lvlJc w:val="left"/>
      <w:pPr>
        <w:tabs>
          <w:tab w:val="num" w:pos="1418"/>
        </w:tabs>
        <w:ind w:left="1644" w:hanging="680"/>
      </w:pPr>
    </w:lvl>
    <w:lvl w:ilvl="3">
      <w:start w:val="1"/>
      <w:numFmt w:val="decimalFullWidth"/>
      <w:suff w:val="nothing"/>
      <w:lvlText w:val="(%4)"/>
      <w:lvlJc w:val="left"/>
      <w:pPr>
        <w:tabs>
          <w:tab w:val="num" w:pos="1984"/>
        </w:tabs>
        <w:ind w:left="1984" w:hanging="567"/>
      </w:pPr>
    </w:lvl>
    <w:lvl w:ilvl="4">
      <w:start w:val="1"/>
      <w:numFmt w:val="ideographTraditional"/>
      <w:suff w:val="nothing"/>
      <w:lvlText w:val="%5、"/>
      <w:lvlJc w:val="left"/>
      <w:pPr>
        <w:tabs>
          <w:tab w:val="num" w:pos="2551"/>
        </w:tabs>
        <w:ind w:left="2324" w:hanging="680"/>
      </w:pPr>
    </w:lvl>
    <w:lvl w:ilvl="5">
      <w:start w:val="1"/>
      <w:numFmt w:val="ideographTraditional"/>
      <w:suff w:val="nothing"/>
      <w:lvlText w:val="(%6)"/>
      <w:lvlJc w:val="left"/>
      <w:pPr>
        <w:tabs>
          <w:tab w:val="num" w:pos="3260"/>
        </w:tabs>
        <w:ind w:left="2665" w:hanging="567"/>
      </w:pPr>
    </w:lvl>
    <w:lvl w:ilvl="6">
      <w:start w:val="1"/>
      <w:numFmt w:val="ideographZodiac"/>
      <w:suff w:val="nothing"/>
      <w:lvlText w:val="%7、"/>
      <w:lvlJc w:val="left"/>
      <w:pPr>
        <w:tabs>
          <w:tab w:val="num" w:pos="3827"/>
        </w:tabs>
        <w:ind w:left="3005" w:hanging="681"/>
      </w:pPr>
    </w:lvl>
    <w:lvl w:ilvl="7">
      <w:start w:val="1"/>
      <w:numFmt w:val="ideographZodiac"/>
      <w:suff w:val="nothing"/>
      <w:lvlText w:val="(%8)"/>
      <w:lvlJc w:val="left"/>
      <w:pPr>
        <w:tabs>
          <w:tab w:val="num" w:pos="4394"/>
        </w:tabs>
        <w:ind w:left="3345" w:hanging="567"/>
      </w:pPr>
    </w:lvl>
    <w:lvl w:ilvl="8">
      <w:start w:val="1"/>
      <w:numFmt w:val="decimalFullWidth"/>
      <w:suff w:val="nothing"/>
      <w:lvlText w:val="%9)"/>
      <w:lvlJc w:val="left"/>
      <w:pPr>
        <w:tabs>
          <w:tab w:val="num" w:pos="5102"/>
        </w:tabs>
        <w:ind w:left="3685" w:hanging="454"/>
      </w:pPr>
    </w:lvl>
  </w:abstractNum>
  <w:abstractNum w:abstractNumId="1">
    <w:nsid w:val="1E4B618F"/>
    <w:multiLevelType w:val="hybridMultilevel"/>
    <w:tmpl w:val="7B781EC6"/>
    <w:lvl w:ilvl="0" w:tplc="35E01EDE">
      <w:start w:val="1"/>
      <w:numFmt w:val="taiwaneseCountingThousand"/>
      <w:lvlText w:val="(%1)"/>
      <w:lvlJc w:val="left"/>
      <w:pPr>
        <w:tabs>
          <w:tab w:val="num" w:pos="878"/>
        </w:tabs>
        <w:ind w:left="878" w:hanging="360"/>
      </w:pPr>
      <w:rPr>
        <w:rFonts w:ascii="Times New Roman" w:hAnsi="Times New Roman" w:hint="eastAsia"/>
      </w:rPr>
    </w:lvl>
    <w:lvl w:ilvl="1" w:tplc="04090019" w:tentative="1">
      <w:start w:val="1"/>
      <w:numFmt w:val="ideographTraditional"/>
      <w:lvlText w:val="%2、"/>
      <w:lvlJc w:val="left"/>
      <w:pPr>
        <w:tabs>
          <w:tab w:val="num" w:pos="1478"/>
        </w:tabs>
        <w:ind w:left="1478" w:hanging="480"/>
      </w:pPr>
    </w:lvl>
    <w:lvl w:ilvl="2" w:tplc="0409001B" w:tentative="1">
      <w:start w:val="1"/>
      <w:numFmt w:val="lowerRoman"/>
      <w:lvlText w:val="%3."/>
      <w:lvlJc w:val="right"/>
      <w:pPr>
        <w:tabs>
          <w:tab w:val="num" w:pos="1958"/>
        </w:tabs>
        <w:ind w:left="1958" w:hanging="480"/>
      </w:pPr>
    </w:lvl>
    <w:lvl w:ilvl="3" w:tplc="0409000F" w:tentative="1">
      <w:start w:val="1"/>
      <w:numFmt w:val="decimal"/>
      <w:lvlText w:val="%4."/>
      <w:lvlJc w:val="left"/>
      <w:pPr>
        <w:tabs>
          <w:tab w:val="num" w:pos="2438"/>
        </w:tabs>
        <w:ind w:left="2438" w:hanging="480"/>
      </w:pPr>
    </w:lvl>
    <w:lvl w:ilvl="4" w:tplc="04090019" w:tentative="1">
      <w:start w:val="1"/>
      <w:numFmt w:val="ideographTraditional"/>
      <w:lvlText w:val="%5、"/>
      <w:lvlJc w:val="left"/>
      <w:pPr>
        <w:tabs>
          <w:tab w:val="num" w:pos="2918"/>
        </w:tabs>
        <w:ind w:left="2918" w:hanging="480"/>
      </w:pPr>
    </w:lvl>
    <w:lvl w:ilvl="5" w:tplc="0409001B" w:tentative="1">
      <w:start w:val="1"/>
      <w:numFmt w:val="lowerRoman"/>
      <w:lvlText w:val="%6."/>
      <w:lvlJc w:val="right"/>
      <w:pPr>
        <w:tabs>
          <w:tab w:val="num" w:pos="3398"/>
        </w:tabs>
        <w:ind w:left="3398" w:hanging="480"/>
      </w:pPr>
    </w:lvl>
    <w:lvl w:ilvl="6" w:tplc="0409000F" w:tentative="1">
      <w:start w:val="1"/>
      <w:numFmt w:val="decimal"/>
      <w:lvlText w:val="%7."/>
      <w:lvlJc w:val="left"/>
      <w:pPr>
        <w:tabs>
          <w:tab w:val="num" w:pos="3878"/>
        </w:tabs>
        <w:ind w:left="3878" w:hanging="480"/>
      </w:pPr>
    </w:lvl>
    <w:lvl w:ilvl="7" w:tplc="04090019" w:tentative="1">
      <w:start w:val="1"/>
      <w:numFmt w:val="ideographTraditional"/>
      <w:lvlText w:val="%8、"/>
      <w:lvlJc w:val="left"/>
      <w:pPr>
        <w:tabs>
          <w:tab w:val="num" w:pos="4358"/>
        </w:tabs>
        <w:ind w:left="4358" w:hanging="480"/>
      </w:pPr>
    </w:lvl>
    <w:lvl w:ilvl="8" w:tplc="0409001B" w:tentative="1">
      <w:start w:val="1"/>
      <w:numFmt w:val="lowerRoman"/>
      <w:lvlText w:val="%9."/>
      <w:lvlJc w:val="right"/>
      <w:pPr>
        <w:tabs>
          <w:tab w:val="num" w:pos="4838"/>
        </w:tabs>
        <w:ind w:left="4838" w:hanging="480"/>
      </w:pPr>
    </w:lvl>
  </w:abstractNum>
  <w:abstractNum w:abstractNumId="2">
    <w:nsid w:val="47D50C05"/>
    <w:multiLevelType w:val="hybridMultilevel"/>
    <w:tmpl w:val="752CB3BC"/>
    <w:lvl w:ilvl="0" w:tplc="6BD064DC">
      <w:start w:val="1"/>
      <w:numFmt w:val="taiwaneseCountingThousand"/>
      <w:lvlText w:val="(%1)"/>
      <w:lvlJc w:val="left"/>
      <w:pPr>
        <w:tabs>
          <w:tab w:val="num" w:pos="945"/>
        </w:tabs>
        <w:ind w:left="945" w:hanging="360"/>
      </w:pPr>
      <w:rPr>
        <w:rFonts w:ascii="Times New Roman" w:hAnsi="Times New Roman" w:hint="eastAsia"/>
      </w:rPr>
    </w:lvl>
    <w:lvl w:ilvl="1" w:tplc="E12E57F8">
      <w:start w:val="1"/>
      <w:numFmt w:val="lowerLetter"/>
      <w:lvlText w:val="%2."/>
      <w:lvlJc w:val="left"/>
      <w:pPr>
        <w:tabs>
          <w:tab w:val="num" w:pos="1425"/>
        </w:tabs>
        <w:ind w:left="1425" w:hanging="360"/>
      </w:pPr>
      <w:rPr>
        <w:rFonts w:ascii="Times New Roman" w:hAnsi="Times New Roman" w:hint="eastAsia"/>
      </w:rPr>
    </w:lvl>
    <w:lvl w:ilvl="2" w:tplc="0409001B" w:tentative="1">
      <w:start w:val="1"/>
      <w:numFmt w:val="lowerRoman"/>
      <w:lvlText w:val="%3."/>
      <w:lvlJc w:val="right"/>
      <w:pPr>
        <w:tabs>
          <w:tab w:val="num" w:pos="2025"/>
        </w:tabs>
        <w:ind w:left="2025" w:hanging="480"/>
      </w:pPr>
    </w:lvl>
    <w:lvl w:ilvl="3" w:tplc="0409000F" w:tentative="1">
      <w:start w:val="1"/>
      <w:numFmt w:val="decimal"/>
      <w:lvlText w:val="%4."/>
      <w:lvlJc w:val="left"/>
      <w:pPr>
        <w:tabs>
          <w:tab w:val="num" w:pos="2505"/>
        </w:tabs>
        <w:ind w:left="2505" w:hanging="480"/>
      </w:pPr>
    </w:lvl>
    <w:lvl w:ilvl="4" w:tplc="04090019" w:tentative="1">
      <w:start w:val="1"/>
      <w:numFmt w:val="ideographTraditional"/>
      <w:lvlText w:val="%5、"/>
      <w:lvlJc w:val="left"/>
      <w:pPr>
        <w:tabs>
          <w:tab w:val="num" w:pos="2985"/>
        </w:tabs>
        <w:ind w:left="2985" w:hanging="480"/>
      </w:pPr>
    </w:lvl>
    <w:lvl w:ilvl="5" w:tplc="0409001B" w:tentative="1">
      <w:start w:val="1"/>
      <w:numFmt w:val="lowerRoman"/>
      <w:lvlText w:val="%6."/>
      <w:lvlJc w:val="right"/>
      <w:pPr>
        <w:tabs>
          <w:tab w:val="num" w:pos="3465"/>
        </w:tabs>
        <w:ind w:left="3465" w:hanging="480"/>
      </w:pPr>
    </w:lvl>
    <w:lvl w:ilvl="6" w:tplc="0409000F" w:tentative="1">
      <w:start w:val="1"/>
      <w:numFmt w:val="decimal"/>
      <w:lvlText w:val="%7."/>
      <w:lvlJc w:val="left"/>
      <w:pPr>
        <w:tabs>
          <w:tab w:val="num" w:pos="3945"/>
        </w:tabs>
        <w:ind w:left="3945" w:hanging="480"/>
      </w:pPr>
    </w:lvl>
    <w:lvl w:ilvl="7" w:tplc="04090019" w:tentative="1">
      <w:start w:val="1"/>
      <w:numFmt w:val="ideographTraditional"/>
      <w:lvlText w:val="%8、"/>
      <w:lvlJc w:val="left"/>
      <w:pPr>
        <w:tabs>
          <w:tab w:val="num" w:pos="4425"/>
        </w:tabs>
        <w:ind w:left="4425" w:hanging="480"/>
      </w:pPr>
    </w:lvl>
    <w:lvl w:ilvl="8" w:tplc="0409001B" w:tentative="1">
      <w:start w:val="1"/>
      <w:numFmt w:val="lowerRoman"/>
      <w:lvlText w:val="%9."/>
      <w:lvlJc w:val="right"/>
      <w:pPr>
        <w:tabs>
          <w:tab w:val="num" w:pos="4905"/>
        </w:tabs>
        <w:ind w:left="4905" w:hanging="480"/>
      </w:pPr>
    </w:lvl>
  </w:abstractNum>
  <w:abstractNum w:abstractNumId="3">
    <w:nsid w:val="54F17A4D"/>
    <w:multiLevelType w:val="hybridMultilevel"/>
    <w:tmpl w:val="14E62F22"/>
    <w:lvl w:ilvl="0" w:tplc="61A693C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7EFF"/>
    <w:rsid w:val="00190D8C"/>
    <w:rsid w:val="002D25BB"/>
    <w:rsid w:val="003C2C14"/>
    <w:rsid w:val="003C60CF"/>
    <w:rsid w:val="00437E88"/>
    <w:rsid w:val="00497EFF"/>
    <w:rsid w:val="004D31DC"/>
    <w:rsid w:val="00585B13"/>
    <w:rsid w:val="00641D4B"/>
    <w:rsid w:val="007453F8"/>
    <w:rsid w:val="007522BB"/>
    <w:rsid w:val="007663A5"/>
    <w:rsid w:val="0079771F"/>
    <w:rsid w:val="00864EB7"/>
    <w:rsid w:val="00963A15"/>
    <w:rsid w:val="00971FED"/>
    <w:rsid w:val="009B3FA3"/>
    <w:rsid w:val="009D018E"/>
    <w:rsid w:val="00BE6A2D"/>
    <w:rsid w:val="00C0706B"/>
    <w:rsid w:val="00C20013"/>
    <w:rsid w:val="00CA6FE7"/>
    <w:rsid w:val="00CD64DD"/>
    <w:rsid w:val="00E223B2"/>
    <w:rsid w:val="00EF50B9"/>
    <w:rsid w:val="00F771CD"/>
    <w:rsid w:val="00FB5B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pPr>
    <w:rPr>
      <w:sz w:val="20"/>
    </w:rPr>
  </w:style>
  <w:style w:type="paragraph" w:customStyle="1" w:styleId="a4">
    <w:name w:val="公文(後續段落)"/>
    <w:basedOn w:val="a"/>
    <w:pPr>
      <w:spacing w:line="500" w:lineRule="exact"/>
      <w:ind w:left="317"/>
    </w:pPr>
    <w:rPr>
      <w:rFonts w:ascii="Times New Roman" w:hAnsi="Times New Roman"/>
      <w:sz w:val="32"/>
      <w:szCs w:val="24"/>
    </w:rPr>
  </w:style>
  <w:style w:type="paragraph" w:styleId="a5">
    <w:name w:val="Balloon Text"/>
    <w:basedOn w:val="a"/>
    <w:semiHidden/>
    <w:rPr>
      <w:rFonts w:ascii="Arial" w:eastAsia="新細明體" w:hAnsi="Arial"/>
      <w:sz w:val="18"/>
      <w:szCs w:val="18"/>
    </w:rPr>
  </w:style>
  <w:style w:type="paragraph" w:styleId="a6">
    <w:name w:val="header"/>
    <w:basedOn w:val="a"/>
    <w:semiHidden/>
    <w:pPr>
      <w:tabs>
        <w:tab w:val="center" w:pos="4153"/>
        <w:tab w:val="right" w:pos="8306"/>
      </w:tabs>
      <w:snapToGrid w:val="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1464</Characters>
  <Application>Microsoft Office Word</Application>
  <DocSecurity>0</DocSecurity>
  <Lines>12</Lines>
  <Paragraphs>3</Paragraphs>
  <ScaleCrop>false</ScaleCrop>
  <Company>財政部</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填表説明：</dc:title>
  <dc:creator>宋秀玲</dc:creator>
  <cp:lastModifiedBy>葉曉慧(NB01325)</cp:lastModifiedBy>
  <cp:revision>2</cp:revision>
  <cp:lastPrinted>2016-10-21T08:11:00Z</cp:lastPrinted>
  <dcterms:created xsi:type="dcterms:W3CDTF">2016-12-02T08:52:00Z</dcterms:created>
  <dcterms:modified xsi:type="dcterms:W3CDTF">2016-12-02T08:52:00Z</dcterms:modified>
</cp:coreProperties>
</file>