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88B" w:rsidRPr="009211F8" w:rsidRDefault="00C1488B">
      <w:pPr>
        <w:spacing w:line="300" w:lineRule="exact"/>
        <w:rPr>
          <w:rFonts w:eastAsia="標楷體"/>
          <w:b/>
          <w:color w:val="000000"/>
          <w:sz w:val="24"/>
          <w:szCs w:val="24"/>
        </w:rPr>
      </w:pPr>
    </w:p>
    <w:p w:rsidR="00C1488B" w:rsidRPr="009211F8" w:rsidRDefault="009E56D1">
      <w:pPr>
        <w:spacing w:line="300" w:lineRule="exact"/>
        <w:rPr>
          <w:rFonts w:eastAsia="標楷體"/>
          <w:b/>
          <w:color w:val="000000"/>
          <w:sz w:val="24"/>
          <w:szCs w:val="24"/>
        </w:rPr>
      </w:pPr>
      <w:r w:rsidRPr="009211F8">
        <w:rPr>
          <w:rFonts w:eastAsia="標楷體"/>
          <w:b/>
          <w:noProof/>
          <w:color w:val="000000"/>
          <w:sz w:val="24"/>
          <w:szCs w:val="24"/>
        </w:rPr>
        <mc:AlternateContent>
          <mc:Choice Requires="wps">
            <w:drawing>
              <wp:anchor distT="0" distB="0" distL="114935" distR="114935" simplePos="0" relativeHeight="2" behindDoc="0" locked="0" layoutInCell="1" allowOverlap="1" wp14:anchorId="175EA55C" wp14:editId="24FA6E20">
                <wp:simplePos x="0" y="0"/>
                <wp:positionH relativeFrom="column">
                  <wp:posOffset>8094345</wp:posOffset>
                </wp:positionH>
                <wp:positionV relativeFrom="paragraph">
                  <wp:posOffset>13335</wp:posOffset>
                </wp:positionV>
                <wp:extent cx="956945" cy="297180"/>
                <wp:effectExtent l="0" t="0" r="17780" b="10795"/>
                <wp:wrapNone/>
                <wp:docPr id="1" name="文字方塊 4"/>
                <wp:cNvGraphicFramePr/>
                <a:graphic xmlns:a="http://schemas.openxmlformats.org/drawingml/2006/main">
                  <a:graphicData uri="http://schemas.microsoft.com/office/word/2010/wordprocessingShape">
                    <wps:wsp>
                      <wps:cNvSpPr/>
                      <wps:spPr>
                        <a:xfrm>
                          <a:off x="0" y="0"/>
                          <a:ext cx="956160" cy="296640"/>
                        </a:xfrm>
                        <a:prstGeom prst="rect">
                          <a:avLst/>
                        </a:prstGeom>
                        <a:solidFill>
                          <a:srgbClr val="FFFFFF"/>
                        </a:solidFill>
                        <a:ln w="6480">
                          <a:solidFill>
                            <a:srgbClr val="FF0000"/>
                          </a:solidFill>
                          <a:miter/>
                        </a:ln>
                      </wps:spPr>
                      <wps:style>
                        <a:lnRef idx="0">
                          <a:scrgbClr r="0" g="0" b="0"/>
                        </a:lnRef>
                        <a:fillRef idx="0">
                          <a:scrgbClr r="0" g="0" b="0"/>
                        </a:fillRef>
                        <a:effectRef idx="0">
                          <a:scrgbClr r="0" g="0" b="0"/>
                        </a:effectRef>
                        <a:fontRef idx="minor"/>
                      </wps:style>
                      <wps:txbx>
                        <w:txbxContent>
                          <w:p w:rsidR="006A79BE" w:rsidRPr="00340D92" w:rsidRDefault="006A79BE" w:rsidP="006A79BE">
                            <w:pPr>
                              <w:widowControl w:val="0"/>
                              <w:spacing w:after="0" w:line="300" w:lineRule="exact"/>
                              <w:jc w:val="center"/>
                              <w:rPr>
                                <w:rFonts w:ascii="標楷體" w:eastAsia="標楷體" w:hAnsi="標楷體"/>
                                <w:kern w:val="2"/>
                                <w:sz w:val="28"/>
                              </w:rPr>
                            </w:pPr>
                            <w:r w:rsidRPr="00340D92">
                              <w:rPr>
                                <w:rFonts w:ascii="標楷體" w:eastAsia="標楷體" w:hAnsi="標楷體" w:hint="eastAsia"/>
                                <w:color w:val="FF0000"/>
                                <w:kern w:val="2"/>
                                <w:sz w:val="28"/>
                              </w:rPr>
                              <w:t>新增頁次</w:t>
                            </w:r>
                          </w:p>
                          <w:p w:rsidR="00C1488B" w:rsidRDefault="00C1488B">
                            <w:pPr>
                              <w:pStyle w:val="ad"/>
                              <w:spacing w:line="300" w:lineRule="exact"/>
                              <w:jc w:val="center"/>
                            </w:pPr>
                          </w:p>
                        </w:txbxContent>
                      </wps:txbx>
                      <wps:bodyPr lIns="94680" tIns="48960" rIns="94680" bIns="48960">
                        <a:noAutofit/>
                      </wps:bodyPr>
                    </wps:wsp>
                  </a:graphicData>
                </a:graphic>
              </wp:anchor>
            </w:drawing>
          </mc:Choice>
          <mc:Fallback>
            <w:pict>
              <v:rect id="文字方塊 4" o:spid="_x0000_s1026" style="position:absolute;margin-left:637.35pt;margin-top:1.05pt;width:75.35pt;height:23.4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" strokecolor="red" strokeweight=".18mm">
                <v:textbox inset="2.63mm,1.36mm,2.63mm,1.36mm">
                  <w:txbxContent>
                    <w:p w:rsidR="006A79BE" w:rsidRPr="00340D92" w:rsidRDefault="006A79BE" w:rsidP="006A79BE">
                      <w:pPr>
                        <w:widowControl w:val="0"/>
                        <w:spacing w:after="0" w:line="300" w:lineRule="exact"/>
                        <w:jc w:val="center"/>
                        <w:rPr>
                          <w:rFonts w:ascii="標楷體" w:eastAsia="標楷體" w:hAnsi="標楷體"/>
                          <w:kern w:val="2"/>
                          <w:sz w:val="28"/>
                        </w:rPr>
                      </w:pPr>
                      <w:r w:rsidRPr="00340D92">
                        <w:rPr>
                          <w:rFonts w:ascii="標楷體" w:eastAsia="標楷體" w:hAnsi="標楷體" w:hint="eastAsia"/>
                          <w:color w:val="FF0000"/>
                          <w:kern w:val="2"/>
                          <w:sz w:val="28"/>
                        </w:rPr>
                        <w:t>新增頁次</w:t>
                      </w:r>
                    </w:p>
                    <w:p w:rsidR="00C1488B" w:rsidRDefault="00C1488B">
                      <w:pPr>
                        <w:pStyle w:val="ad"/>
                        <w:spacing w:line="300" w:lineRule="exact"/>
                        <w:jc w:val="center"/>
                      </w:pPr>
                      <w:bookmarkStart w:id="1" w:name="_GoBack"/>
                      <w:bookmarkEnd w:id="1"/>
                    </w:p>
                  </w:txbxContent>
                </v:textbox>
              </v:rect>
            </w:pict>
          </mc:Fallback>
        </mc:AlternateContent>
      </w:r>
    </w:p>
    <w:p w:rsidR="00C1488B" w:rsidRPr="009211F8" w:rsidRDefault="009E56D1">
      <w:pPr>
        <w:pStyle w:val="Web"/>
        <w:spacing w:beforeAutospacing="0" w:after="0" w:line="400" w:lineRule="exact"/>
        <w:ind w:left="601" w:hanging="601"/>
        <w:rPr>
          <w:rFonts w:ascii="Times New Roman" w:eastAsia="標楷體" w:hAnsi="Times New Roman" w:cs="Times New Roman"/>
          <w:b/>
          <w:color w:val="000000"/>
        </w:rPr>
      </w:pPr>
      <w:r w:rsidRPr="009211F8">
        <w:rPr>
          <w:rFonts w:ascii="Times New Roman" w:eastAsia="標楷體" w:hAnsi="Times New Roman" w:cs="Times New Roman"/>
          <w:b/>
          <w:color w:val="000000"/>
        </w:rPr>
        <w:t>填表說明：</w:t>
      </w:r>
    </w:p>
    <w:p w:rsidR="00C1488B" w:rsidRPr="009211F8" w:rsidRDefault="009E56D1">
      <w:pPr>
        <w:pStyle w:val="Web"/>
        <w:spacing w:beforeAutospacing="0" w:after="0" w:line="400" w:lineRule="exact"/>
        <w:ind w:left="446" w:hanging="480"/>
        <w:jc w:val="both"/>
        <w:rPr>
          <w:rFonts w:ascii="Times New Roman" w:eastAsia="標楷體" w:hAnsi="Times New Roman" w:cs="Times New Roman"/>
          <w:color w:val="000000"/>
        </w:rPr>
      </w:pPr>
      <w:r w:rsidRPr="009211F8">
        <w:rPr>
          <w:rFonts w:ascii="Times New Roman" w:eastAsia="標楷體" w:hAnsi="Times New Roman" w:cs="Times New Roman"/>
          <w:color w:val="000000"/>
        </w:rPr>
        <w:t>一、營利事業屬跨國企業集團成員者，應依營利事業所得稅不合常規移轉訂價查核準則</w:t>
      </w:r>
      <w:r w:rsidR="00153FAF" w:rsidRPr="00153FAF">
        <w:rPr>
          <w:rFonts w:ascii="Times New Roman" w:eastAsia="標楷體" w:hAnsi="Times New Roman" w:cs="Times New Roman" w:hint="eastAsia"/>
          <w:b/>
          <w:color w:val="FF0000"/>
          <w:highlight w:val="yellow"/>
        </w:rPr>
        <w:t>(</w:t>
      </w:r>
      <w:r w:rsidR="00153FAF" w:rsidRPr="00153FAF">
        <w:rPr>
          <w:rFonts w:ascii="Times New Roman" w:eastAsia="標楷體" w:hAnsi="Times New Roman" w:cs="Times New Roman" w:hint="eastAsia"/>
          <w:b/>
          <w:color w:val="FF0000"/>
          <w:highlight w:val="yellow"/>
        </w:rPr>
        <w:t>以下簡稱移轉訂價查核準則</w:t>
      </w:r>
      <w:r w:rsidR="00153FAF" w:rsidRPr="00153FAF">
        <w:rPr>
          <w:rFonts w:ascii="Times New Roman" w:eastAsia="標楷體" w:hAnsi="Times New Roman" w:cs="Times New Roman" w:hint="eastAsia"/>
          <w:b/>
          <w:color w:val="FF0000"/>
          <w:highlight w:val="yellow"/>
        </w:rPr>
        <w:t>)</w:t>
      </w:r>
      <w:r w:rsidRPr="009211F8">
        <w:rPr>
          <w:rFonts w:ascii="Times New Roman" w:eastAsia="標楷體" w:hAnsi="Times New Roman" w:cs="Times New Roman"/>
          <w:color w:val="000000"/>
        </w:rPr>
        <w:t>第</w:t>
      </w:r>
      <w:r w:rsidRPr="009211F8">
        <w:rPr>
          <w:rFonts w:ascii="Times New Roman" w:eastAsia="標楷體" w:hAnsi="Times New Roman" w:cs="Times New Roman"/>
          <w:color w:val="000000"/>
        </w:rPr>
        <w:t>4</w:t>
      </w:r>
      <w:r w:rsidRPr="009211F8">
        <w:rPr>
          <w:rFonts w:ascii="Times New Roman" w:eastAsia="標楷體" w:hAnsi="Times New Roman" w:cs="Times New Roman"/>
          <w:color w:val="000000"/>
        </w:rPr>
        <w:t>條、第</w:t>
      </w:r>
      <w:r w:rsidRPr="009211F8">
        <w:rPr>
          <w:rFonts w:ascii="Times New Roman" w:eastAsia="標楷體" w:hAnsi="Times New Roman" w:cs="Times New Roman"/>
          <w:color w:val="000000"/>
        </w:rPr>
        <w:t>21</w:t>
      </w:r>
      <w:r w:rsidRPr="009211F8">
        <w:rPr>
          <w:rFonts w:ascii="Times New Roman" w:eastAsia="標楷體" w:hAnsi="Times New Roman" w:cs="Times New Roman"/>
          <w:color w:val="000000"/>
        </w:rPr>
        <w:t>條、第</w:t>
      </w:r>
      <w:r w:rsidRPr="009211F8">
        <w:rPr>
          <w:rFonts w:ascii="Times New Roman" w:eastAsia="標楷體" w:hAnsi="Times New Roman" w:cs="Times New Roman"/>
          <w:color w:val="000000"/>
        </w:rPr>
        <w:t>21</w:t>
      </w:r>
      <w:r w:rsidRPr="009211F8">
        <w:rPr>
          <w:rFonts w:ascii="Times New Roman" w:eastAsia="標楷體" w:hAnsi="Times New Roman" w:cs="Times New Roman"/>
          <w:color w:val="000000"/>
        </w:rPr>
        <w:t>條之</w:t>
      </w:r>
      <w:r w:rsidRPr="009211F8">
        <w:rPr>
          <w:rFonts w:ascii="Times New Roman" w:eastAsia="標楷體" w:hAnsi="Times New Roman" w:cs="Times New Roman"/>
          <w:color w:val="000000"/>
        </w:rPr>
        <w:t>1</w:t>
      </w:r>
      <w:r w:rsidRPr="009211F8">
        <w:rPr>
          <w:rFonts w:ascii="Times New Roman" w:eastAsia="標楷體" w:hAnsi="Times New Roman" w:cs="Times New Roman"/>
          <w:color w:val="000000"/>
        </w:rPr>
        <w:t>及第</w:t>
      </w:r>
      <w:r w:rsidRPr="009211F8">
        <w:rPr>
          <w:rFonts w:ascii="Times New Roman" w:eastAsia="標楷體" w:hAnsi="Times New Roman" w:cs="Times New Roman"/>
          <w:color w:val="000000"/>
        </w:rPr>
        <w:t>22</w:t>
      </w:r>
      <w:r w:rsidRPr="009211F8">
        <w:rPr>
          <w:rFonts w:ascii="Times New Roman" w:eastAsia="標楷體" w:hAnsi="Times New Roman" w:cs="Times New Roman"/>
          <w:color w:val="000000"/>
        </w:rPr>
        <w:t>條之</w:t>
      </w:r>
      <w:r w:rsidRPr="009211F8">
        <w:rPr>
          <w:rFonts w:ascii="Times New Roman" w:eastAsia="標楷體" w:hAnsi="Times New Roman" w:cs="Times New Roman"/>
          <w:color w:val="000000"/>
        </w:rPr>
        <w:t>1</w:t>
      </w:r>
      <w:r w:rsidRPr="009211F8">
        <w:rPr>
          <w:rFonts w:ascii="Times New Roman" w:eastAsia="標楷體" w:hAnsi="Times New Roman" w:cs="Times New Roman"/>
          <w:color w:val="000000"/>
        </w:rPr>
        <w:t>規定，填報本頁跨國企業集團成員揭露資料。</w:t>
      </w:r>
    </w:p>
    <w:p w:rsidR="00C1488B" w:rsidRPr="009211F8" w:rsidRDefault="009E56D1">
      <w:pPr>
        <w:pStyle w:val="Web"/>
        <w:spacing w:beforeAutospacing="0" w:after="0" w:line="400" w:lineRule="exact"/>
        <w:ind w:left="600" w:hanging="600"/>
        <w:jc w:val="both"/>
        <w:rPr>
          <w:rFonts w:ascii="Times New Roman" w:eastAsia="標楷體" w:hAnsi="Times New Roman" w:cs="Times New Roman"/>
        </w:rPr>
      </w:pPr>
      <w:r w:rsidRPr="009211F8">
        <w:rPr>
          <w:rFonts w:ascii="Times New Roman" w:eastAsia="標楷體" w:hAnsi="Times New Roman" w:cs="Times New Roman"/>
        </w:rPr>
        <w:t>二、集團前一年度合併收入總額及送交國別報告標準，請以最終母公司或代理母公司送交成員之居住地國或地區功能性貨幣填報。</w:t>
      </w:r>
    </w:p>
    <w:p w:rsidR="00C1488B" w:rsidRPr="009211F8" w:rsidRDefault="009E56D1" w:rsidP="003C0375">
      <w:pPr>
        <w:pStyle w:val="Web"/>
        <w:spacing w:beforeAutospacing="0" w:after="0" w:line="400" w:lineRule="exact"/>
        <w:ind w:left="480" w:hanging="480"/>
        <w:jc w:val="both"/>
        <w:rPr>
          <w:rFonts w:ascii="Times New Roman" w:eastAsia="標楷體" w:hAnsi="Times New Roman" w:cs="Times New Roman"/>
        </w:rPr>
      </w:pPr>
      <w:r w:rsidRPr="009211F8">
        <w:rPr>
          <w:rFonts w:ascii="Times New Roman" w:eastAsia="標楷體" w:hAnsi="Times New Roman" w:cs="Times New Roman"/>
        </w:rPr>
        <w:t>三、</w:t>
      </w:r>
      <w:r w:rsidRPr="009211F8">
        <w:rPr>
          <w:rFonts w:ascii="Times New Roman" w:eastAsia="標楷體" w:hAnsi="Times New Roman" w:cs="Times New Roman"/>
          <w:color w:val="000000"/>
        </w:rPr>
        <w:t>A</w:t>
      </w:r>
      <w:r w:rsidRPr="009211F8">
        <w:rPr>
          <w:rFonts w:ascii="Times New Roman" w:eastAsia="標楷體" w:hAnsi="Times New Roman" w:cs="Times New Roman"/>
          <w:color w:val="000000"/>
        </w:rPr>
        <w:t>、集團主檔報告「</w:t>
      </w:r>
      <w:r w:rsidRPr="009211F8">
        <w:rPr>
          <w:rFonts w:ascii="Times New Roman" w:eastAsia="標楷體" w:hAnsi="Times New Roman" w:cs="Times New Roman"/>
          <w:color w:val="000000"/>
        </w:rPr>
        <w:t>1.</w:t>
      </w:r>
      <w:r w:rsidRPr="009211F8">
        <w:rPr>
          <w:rFonts w:ascii="Times New Roman" w:eastAsia="標楷體" w:hAnsi="Times New Roman" w:cs="Times New Roman"/>
          <w:color w:val="000000"/>
        </w:rPr>
        <w:t>本營利事業是否屬應備妥並送交集團主檔報告者</w:t>
      </w:r>
      <w:r w:rsidRPr="009211F8">
        <w:rPr>
          <w:rFonts w:ascii="Times New Roman" w:eastAsia="標楷體" w:hAnsi="Times New Roman" w:cs="Times New Roman"/>
          <w:color w:val="000000"/>
        </w:rPr>
        <w:t>?</w:t>
      </w:r>
      <w:r w:rsidRPr="009211F8">
        <w:rPr>
          <w:rFonts w:ascii="Times New Roman" w:eastAsia="標楷體" w:hAnsi="Times New Roman" w:cs="Times New Roman"/>
          <w:color w:val="000000"/>
        </w:rPr>
        <w:t>」欄，請依下列說明填寫：</w:t>
      </w:r>
    </w:p>
    <w:p w:rsidR="00C1488B" w:rsidRPr="009211F8" w:rsidRDefault="009E56D1">
      <w:pPr>
        <w:pStyle w:val="Web"/>
        <w:spacing w:beforeAutospacing="0" w:after="0" w:line="400" w:lineRule="exact"/>
        <w:ind w:left="363"/>
        <w:jc w:val="both"/>
        <w:rPr>
          <w:rFonts w:ascii="Times New Roman" w:eastAsia="標楷體" w:hAnsi="Times New Roman" w:cs="Times New Roman"/>
        </w:rPr>
      </w:pPr>
      <w:r w:rsidRPr="009211F8">
        <w:rPr>
          <w:rFonts w:ascii="Times New Roman" w:eastAsia="標楷體" w:hAnsi="Times New Roman" w:cs="Times New Roman"/>
          <w:color w:val="000000"/>
        </w:rPr>
        <w:t>中華民國境內營利事業為跨國企業集團成員，依財政部</w:t>
      </w:r>
      <w:r w:rsidRPr="009211F8">
        <w:rPr>
          <w:rFonts w:ascii="Times New Roman" w:eastAsia="標楷體" w:hAnsi="Times New Roman" w:cs="Times New Roman"/>
          <w:color w:val="000000"/>
        </w:rPr>
        <w:t>106</w:t>
      </w:r>
      <w:r w:rsidRPr="009211F8">
        <w:rPr>
          <w:rFonts w:ascii="Times New Roman" w:eastAsia="標楷體" w:hAnsi="Times New Roman" w:cs="Times New Roman"/>
          <w:color w:val="000000"/>
        </w:rPr>
        <w:t>年</w:t>
      </w:r>
      <w:r w:rsidRPr="009211F8">
        <w:rPr>
          <w:rFonts w:ascii="Times New Roman" w:eastAsia="標楷體" w:hAnsi="Times New Roman" w:cs="Times New Roman"/>
          <w:color w:val="000000"/>
        </w:rPr>
        <w:t>12</w:t>
      </w:r>
      <w:r w:rsidRPr="009211F8">
        <w:rPr>
          <w:rFonts w:ascii="Times New Roman" w:eastAsia="標楷體" w:hAnsi="Times New Roman" w:cs="Times New Roman"/>
          <w:color w:val="000000"/>
        </w:rPr>
        <w:t>月</w:t>
      </w:r>
      <w:r w:rsidRPr="009211F8">
        <w:rPr>
          <w:rFonts w:ascii="Times New Roman" w:eastAsia="標楷體" w:hAnsi="Times New Roman" w:cs="Times New Roman"/>
          <w:color w:val="000000"/>
        </w:rPr>
        <w:t>13</w:t>
      </w:r>
      <w:r w:rsidRPr="009211F8">
        <w:rPr>
          <w:rFonts w:ascii="Times New Roman" w:eastAsia="標楷體" w:hAnsi="Times New Roman" w:cs="Times New Roman"/>
          <w:color w:val="000000"/>
        </w:rPr>
        <w:t>日台財稅字第</w:t>
      </w:r>
      <w:r w:rsidRPr="009211F8">
        <w:rPr>
          <w:rFonts w:ascii="Times New Roman" w:eastAsia="標楷體" w:hAnsi="Times New Roman" w:cs="Times New Roman"/>
          <w:color w:val="000000"/>
        </w:rPr>
        <w:t>10604700690</w:t>
      </w:r>
      <w:r w:rsidRPr="009211F8">
        <w:rPr>
          <w:rFonts w:ascii="Times New Roman" w:eastAsia="標楷體" w:hAnsi="Times New Roman" w:cs="Times New Roman"/>
          <w:color w:val="000000"/>
        </w:rPr>
        <w:t>號令第</w:t>
      </w:r>
      <w:r w:rsidRPr="009211F8">
        <w:rPr>
          <w:rFonts w:ascii="Times New Roman" w:eastAsia="標楷體" w:hAnsi="Times New Roman" w:cs="Times New Roman"/>
          <w:color w:val="000000"/>
        </w:rPr>
        <w:t>1</w:t>
      </w:r>
      <w:r w:rsidRPr="009211F8">
        <w:rPr>
          <w:rFonts w:ascii="Times New Roman" w:eastAsia="標楷體" w:hAnsi="Times New Roman" w:cs="Times New Roman"/>
          <w:color w:val="000000"/>
        </w:rPr>
        <w:t>點規定得免送交集團主檔報告（</w:t>
      </w:r>
      <w:r w:rsidRPr="009211F8">
        <w:rPr>
          <w:rFonts w:ascii="Times New Roman" w:eastAsia="標楷體" w:hAnsi="Times New Roman" w:cs="Times New Roman"/>
          <w:color w:val="000000"/>
        </w:rPr>
        <w:t>Master File</w:t>
      </w:r>
      <w:r w:rsidRPr="009211F8">
        <w:rPr>
          <w:rFonts w:ascii="Times New Roman" w:eastAsia="標楷體" w:hAnsi="Times New Roman" w:cs="Times New Roman"/>
          <w:color w:val="000000"/>
        </w:rPr>
        <w:t>）</w:t>
      </w:r>
      <w:r w:rsidR="00250FCA">
        <w:rPr>
          <w:rFonts w:ascii="Times New Roman" w:eastAsia="標楷體" w:hAnsi="Times New Roman" w:cs="Times New Roman"/>
          <w:color w:val="000000"/>
        </w:rPr>
        <w:t>者</w:t>
      </w:r>
      <w:r w:rsidRPr="009211F8">
        <w:rPr>
          <w:rFonts w:ascii="Times New Roman" w:eastAsia="標楷體" w:hAnsi="Times New Roman" w:cs="Times New Roman"/>
          <w:color w:val="000000"/>
        </w:rPr>
        <w:t>，請勾「否」。</w:t>
      </w:r>
    </w:p>
    <w:p w:rsidR="00C1488B" w:rsidRPr="009211F8" w:rsidRDefault="009E56D1">
      <w:pPr>
        <w:pStyle w:val="Web"/>
        <w:numPr>
          <w:ilvl w:val="0"/>
          <w:numId w:val="1"/>
        </w:numPr>
        <w:spacing w:beforeAutospacing="0" w:after="0" w:line="400" w:lineRule="exact"/>
        <w:ind w:left="1026" w:hanging="601"/>
        <w:jc w:val="both"/>
        <w:rPr>
          <w:rFonts w:ascii="Times New Roman" w:eastAsia="標楷體" w:hAnsi="Times New Roman" w:cs="Times New Roman"/>
        </w:rPr>
      </w:pPr>
      <w:r w:rsidRPr="009211F8">
        <w:rPr>
          <w:rFonts w:ascii="Times New Roman" w:eastAsia="標楷體" w:hAnsi="Times New Roman" w:cs="Times New Roman"/>
          <w:color w:val="000000"/>
        </w:rPr>
        <w:t>營利事業全年營業收入淨額及非營業收入合計數未達新臺幣</w:t>
      </w:r>
      <w:r w:rsidRPr="009211F8">
        <w:rPr>
          <w:rFonts w:ascii="Times New Roman" w:eastAsia="標楷體" w:hAnsi="Times New Roman" w:cs="Times New Roman"/>
          <w:color w:val="000000"/>
        </w:rPr>
        <w:t>30</w:t>
      </w:r>
      <w:r w:rsidRPr="009211F8">
        <w:rPr>
          <w:rFonts w:ascii="Times New Roman" w:eastAsia="標楷體" w:hAnsi="Times New Roman" w:cs="Times New Roman"/>
          <w:color w:val="000000"/>
        </w:rPr>
        <w:t>億元，或全年</w:t>
      </w:r>
      <w:proofErr w:type="gramStart"/>
      <w:r w:rsidRPr="009211F8">
        <w:rPr>
          <w:rFonts w:ascii="Times New Roman" w:eastAsia="標楷體" w:hAnsi="Times New Roman" w:cs="Times New Roman"/>
          <w:color w:val="000000"/>
        </w:rPr>
        <w:t>跨境受控</w:t>
      </w:r>
      <w:proofErr w:type="gramEnd"/>
      <w:r w:rsidRPr="009211F8">
        <w:rPr>
          <w:rFonts w:ascii="Times New Roman" w:eastAsia="標楷體" w:hAnsi="Times New Roman" w:cs="Times New Roman"/>
          <w:color w:val="000000"/>
        </w:rPr>
        <w:t>交易總額未達新臺幣</w:t>
      </w:r>
      <w:r w:rsidRPr="009211F8">
        <w:rPr>
          <w:rFonts w:ascii="Times New Roman" w:eastAsia="標楷體" w:hAnsi="Times New Roman" w:cs="Times New Roman"/>
          <w:color w:val="000000"/>
        </w:rPr>
        <w:t>15</w:t>
      </w:r>
      <w:r w:rsidRPr="009211F8">
        <w:rPr>
          <w:rFonts w:ascii="Times New Roman" w:eastAsia="標楷體" w:hAnsi="Times New Roman" w:cs="Times New Roman"/>
          <w:color w:val="000000"/>
        </w:rPr>
        <w:t>億元。</w:t>
      </w:r>
    </w:p>
    <w:p w:rsidR="00C1488B" w:rsidRPr="009211F8" w:rsidRDefault="009E56D1">
      <w:pPr>
        <w:pStyle w:val="Web"/>
        <w:numPr>
          <w:ilvl w:val="0"/>
          <w:numId w:val="1"/>
        </w:numPr>
        <w:spacing w:beforeAutospacing="0" w:after="0" w:line="400" w:lineRule="exact"/>
        <w:ind w:left="1026" w:hanging="601"/>
        <w:jc w:val="both"/>
        <w:rPr>
          <w:rFonts w:ascii="Times New Roman" w:eastAsia="標楷體" w:hAnsi="Times New Roman" w:cs="Times New Roman"/>
          <w:color w:val="000000"/>
        </w:rPr>
      </w:pPr>
      <w:r w:rsidRPr="009211F8">
        <w:rPr>
          <w:rFonts w:ascii="Times New Roman" w:eastAsia="標楷體" w:hAnsi="Times New Roman" w:cs="Times New Roman"/>
          <w:color w:val="000000"/>
        </w:rPr>
        <w:t>跨國企業集團在中華民國境內有</w:t>
      </w:r>
      <w:r w:rsidRPr="009211F8">
        <w:rPr>
          <w:rFonts w:ascii="Times New Roman" w:eastAsia="標楷體" w:hAnsi="Times New Roman" w:cs="Times New Roman"/>
          <w:color w:val="000000"/>
        </w:rPr>
        <w:t>2</w:t>
      </w:r>
      <w:r w:rsidRPr="009211F8">
        <w:rPr>
          <w:rFonts w:ascii="Times New Roman" w:eastAsia="標楷體" w:hAnsi="Times New Roman" w:cs="Times New Roman"/>
          <w:color w:val="000000"/>
        </w:rPr>
        <w:t>個以上營利事業成員者，依個別成員適用前款規定；其有</w:t>
      </w:r>
      <w:r w:rsidRPr="009211F8">
        <w:rPr>
          <w:rFonts w:ascii="Times New Roman" w:eastAsia="標楷體" w:hAnsi="Times New Roman" w:cs="Times New Roman"/>
          <w:color w:val="000000"/>
        </w:rPr>
        <w:t>2</w:t>
      </w:r>
      <w:r w:rsidRPr="009211F8">
        <w:rPr>
          <w:rFonts w:ascii="Times New Roman" w:eastAsia="標楷體" w:hAnsi="Times New Roman" w:cs="Times New Roman"/>
          <w:color w:val="000000"/>
        </w:rPr>
        <w:t>個以上營利事業成員應備妥及送交集團主檔報告者，依移轉訂價查核準則第</w:t>
      </w:r>
      <w:r w:rsidRPr="009211F8">
        <w:rPr>
          <w:rFonts w:ascii="Times New Roman" w:eastAsia="標楷體" w:hAnsi="Times New Roman" w:cs="Times New Roman"/>
          <w:color w:val="000000"/>
        </w:rPr>
        <w:t>21</w:t>
      </w:r>
      <w:r w:rsidRPr="009211F8">
        <w:rPr>
          <w:rFonts w:ascii="Times New Roman" w:eastAsia="標楷體" w:hAnsi="Times New Roman" w:cs="Times New Roman"/>
          <w:color w:val="000000"/>
        </w:rPr>
        <w:t>條之</w:t>
      </w:r>
      <w:r w:rsidRPr="009211F8">
        <w:rPr>
          <w:rFonts w:ascii="Times New Roman" w:eastAsia="標楷體" w:hAnsi="Times New Roman" w:cs="Times New Roman"/>
          <w:color w:val="000000"/>
        </w:rPr>
        <w:t>1</w:t>
      </w:r>
      <w:r w:rsidRPr="009211F8">
        <w:rPr>
          <w:rFonts w:ascii="Times New Roman" w:eastAsia="標楷體" w:hAnsi="Times New Roman" w:cs="Times New Roman"/>
          <w:color w:val="000000"/>
        </w:rPr>
        <w:t>序文後段規定指定其</w:t>
      </w:r>
      <w:r w:rsidR="009B37F2">
        <w:rPr>
          <w:rFonts w:ascii="Times New Roman" w:eastAsia="標楷體" w:hAnsi="Times New Roman" w:cs="Times New Roman"/>
          <w:color w:val="000000"/>
        </w:rPr>
        <w:t>他</w:t>
      </w:r>
      <w:r w:rsidRPr="009211F8">
        <w:rPr>
          <w:rFonts w:ascii="Times New Roman" w:eastAsia="標楷體" w:hAnsi="Times New Roman" w:cs="Times New Roman"/>
          <w:color w:val="000000"/>
        </w:rPr>
        <w:t>營利事業成員備妥及送交。</w:t>
      </w:r>
    </w:p>
    <w:p w:rsidR="00C1488B" w:rsidRPr="009211F8" w:rsidRDefault="003C0375" w:rsidP="009B5DD4">
      <w:pPr>
        <w:pStyle w:val="Web"/>
        <w:spacing w:beforeAutospacing="0" w:after="0" w:line="400" w:lineRule="exact"/>
        <w:ind w:left="567" w:hanging="567"/>
        <w:jc w:val="both"/>
        <w:rPr>
          <w:rFonts w:ascii="Times New Roman" w:eastAsia="標楷體" w:hAnsi="Times New Roman" w:cs="Times New Roman"/>
        </w:rPr>
      </w:pPr>
      <w:r>
        <w:rPr>
          <w:rFonts w:ascii="Times New Roman" w:eastAsia="標楷體" w:hAnsi="Times New Roman" w:cs="Times New Roman"/>
          <w:color w:val="000000"/>
        </w:rPr>
        <w:t>四</w:t>
      </w:r>
      <w:bookmarkStart w:id="0" w:name="_GoBack"/>
      <w:bookmarkEnd w:id="0"/>
      <w:r w:rsidR="009E56D1" w:rsidRPr="009211F8">
        <w:rPr>
          <w:rFonts w:ascii="Times New Roman" w:eastAsia="標楷體" w:hAnsi="Times New Roman" w:cs="Times New Roman"/>
          <w:color w:val="000000"/>
        </w:rPr>
        <w:t>、中華民國境內營利事業為跨國企業集團成員，依移轉訂價查核準則第</w:t>
      </w:r>
      <w:r w:rsidR="009E56D1" w:rsidRPr="009211F8">
        <w:rPr>
          <w:rFonts w:ascii="Times New Roman" w:eastAsia="標楷體" w:hAnsi="Times New Roman" w:cs="Times New Roman"/>
          <w:color w:val="000000"/>
        </w:rPr>
        <w:t>22</w:t>
      </w:r>
      <w:r w:rsidR="009E56D1" w:rsidRPr="009211F8">
        <w:rPr>
          <w:rFonts w:ascii="Times New Roman" w:eastAsia="標楷體" w:hAnsi="Times New Roman" w:cs="Times New Roman"/>
          <w:color w:val="000000"/>
        </w:rPr>
        <w:t>條之</w:t>
      </w:r>
      <w:r w:rsidR="009E56D1" w:rsidRPr="009211F8">
        <w:rPr>
          <w:rFonts w:ascii="Times New Roman" w:eastAsia="標楷體" w:hAnsi="Times New Roman" w:cs="Times New Roman"/>
          <w:color w:val="000000"/>
        </w:rPr>
        <w:t>1</w:t>
      </w:r>
      <w:r w:rsidR="009E56D1" w:rsidRPr="009211F8">
        <w:rPr>
          <w:rFonts w:ascii="Times New Roman" w:eastAsia="標楷體" w:hAnsi="Times New Roman" w:cs="Times New Roman"/>
          <w:color w:val="000000"/>
        </w:rPr>
        <w:t>第</w:t>
      </w:r>
      <w:r w:rsidR="009E56D1" w:rsidRPr="009211F8">
        <w:rPr>
          <w:rFonts w:ascii="Times New Roman" w:eastAsia="標楷體" w:hAnsi="Times New Roman" w:cs="Times New Roman"/>
          <w:color w:val="000000"/>
        </w:rPr>
        <w:t>6</w:t>
      </w:r>
      <w:r w:rsidR="009E56D1" w:rsidRPr="009211F8">
        <w:rPr>
          <w:rFonts w:ascii="Times New Roman" w:eastAsia="標楷體" w:hAnsi="Times New Roman" w:cs="Times New Roman"/>
          <w:color w:val="000000"/>
        </w:rPr>
        <w:t>項</w:t>
      </w:r>
      <w:r w:rsidR="009B37F2">
        <w:rPr>
          <w:rFonts w:ascii="Times New Roman" w:eastAsia="標楷體" w:hAnsi="Times New Roman" w:cs="Times New Roman"/>
          <w:color w:val="000000"/>
        </w:rPr>
        <w:t>及</w:t>
      </w:r>
      <w:r w:rsidR="009B37F2" w:rsidRPr="009B37F2">
        <w:rPr>
          <w:rFonts w:ascii="Times New Roman" w:eastAsia="標楷體" w:hAnsi="Times New Roman" w:cs="Times New Roman" w:hint="eastAsia"/>
          <w:color w:val="000000"/>
        </w:rPr>
        <w:t>財政部</w:t>
      </w:r>
      <w:r w:rsidR="009B37F2" w:rsidRPr="009B37F2">
        <w:rPr>
          <w:rFonts w:ascii="Times New Roman" w:eastAsia="標楷體" w:hAnsi="Times New Roman" w:cs="Times New Roman" w:hint="eastAsia"/>
          <w:color w:val="000000"/>
        </w:rPr>
        <w:t>106</w:t>
      </w:r>
      <w:r w:rsidR="009B37F2" w:rsidRPr="009B37F2">
        <w:rPr>
          <w:rFonts w:ascii="Times New Roman" w:eastAsia="標楷體" w:hAnsi="Times New Roman" w:cs="Times New Roman" w:hint="eastAsia"/>
          <w:color w:val="000000"/>
        </w:rPr>
        <w:t>年</w:t>
      </w:r>
      <w:r w:rsidR="009B37F2" w:rsidRPr="009B37F2">
        <w:rPr>
          <w:rFonts w:ascii="Times New Roman" w:eastAsia="標楷體" w:hAnsi="Times New Roman" w:cs="Times New Roman" w:hint="eastAsia"/>
          <w:color w:val="000000"/>
        </w:rPr>
        <w:t>12</w:t>
      </w:r>
      <w:r w:rsidR="009B37F2" w:rsidRPr="009B37F2">
        <w:rPr>
          <w:rFonts w:ascii="Times New Roman" w:eastAsia="標楷體" w:hAnsi="Times New Roman" w:cs="Times New Roman" w:hint="eastAsia"/>
          <w:color w:val="000000"/>
        </w:rPr>
        <w:t>月</w:t>
      </w:r>
      <w:r w:rsidR="009B37F2" w:rsidRPr="009B37F2">
        <w:rPr>
          <w:rFonts w:ascii="Times New Roman" w:eastAsia="標楷體" w:hAnsi="Times New Roman" w:cs="Times New Roman" w:hint="eastAsia"/>
          <w:color w:val="000000"/>
        </w:rPr>
        <w:t>13</w:t>
      </w:r>
      <w:r w:rsidR="009B37F2" w:rsidRPr="009B37F2">
        <w:rPr>
          <w:rFonts w:ascii="Times New Roman" w:eastAsia="標楷體" w:hAnsi="Times New Roman" w:cs="Times New Roman" w:hint="eastAsia"/>
          <w:color w:val="000000"/>
        </w:rPr>
        <w:t>日台財稅字第</w:t>
      </w:r>
      <w:r w:rsidR="009B37F2" w:rsidRPr="009B37F2">
        <w:rPr>
          <w:rFonts w:ascii="Times New Roman" w:eastAsia="標楷體" w:hAnsi="Times New Roman" w:cs="Times New Roman" w:hint="eastAsia"/>
          <w:color w:val="000000"/>
        </w:rPr>
        <w:t>10604700690</w:t>
      </w:r>
      <w:r w:rsidR="009B37F2" w:rsidRPr="009B37F2">
        <w:rPr>
          <w:rFonts w:ascii="Times New Roman" w:eastAsia="標楷體" w:hAnsi="Times New Roman" w:cs="Times New Roman" w:hint="eastAsia"/>
          <w:color w:val="000000"/>
        </w:rPr>
        <w:t>號令第</w:t>
      </w:r>
      <w:r w:rsidR="009B37F2" w:rsidRPr="009B37F2">
        <w:rPr>
          <w:rFonts w:ascii="Times New Roman" w:eastAsia="標楷體" w:hAnsi="Times New Roman" w:cs="Times New Roman" w:hint="eastAsia"/>
          <w:color w:val="000000"/>
        </w:rPr>
        <w:t>2</w:t>
      </w:r>
      <w:r w:rsidR="009B37F2" w:rsidRPr="009B37F2">
        <w:rPr>
          <w:rFonts w:ascii="Times New Roman" w:eastAsia="標楷體" w:hAnsi="Times New Roman" w:cs="Times New Roman" w:hint="eastAsia"/>
          <w:color w:val="000000"/>
        </w:rPr>
        <w:t>點</w:t>
      </w:r>
      <w:r w:rsidR="009E56D1" w:rsidRPr="009211F8">
        <w:rPr>
          <w:rFonts w:ascii="Times New Roman" w:eastAsia="標楷體" w:hAnsi="Times New Roman" w:cs="Times New Roman"/>
          <w:color w:val="000000"/>
        </w:rPr>
        <w:t>規定得免送交「國別報告</w:t>
      </w:r>
      <w:bookmarkStart w:id="1" w:name="__DdeLink__601_755718739"/>
      <w:r w:rsidR="009E56D1" w:rsidRPr="009211F8">
        <w:rPr>
          <w:rFonts w:ascii="Times New Roman" w:eastAsia="標楷體" w:hAnsi="Times New Roman" w:cs="Times New Roman"/>
          <w:color w:val="000000"/>
        </w:rPr>
        <w:t>(Country-by-Country</w:t>
      </w:r>
      <w:bookmarkEnd w:id="1"/>
      <w:r w:rsidR="009E56D1" w:rsidRPr="009211F8">
        <w:rPr>
          <w:rFonts w:ascii="Times New Roman" w:eastAsia="標楷體" w:hAnsi="Times New Roman" w:cs="Times New Roman"/>
          <w:color w:val="000000"/>
        </w:rPr>
        <w:t xml:space="preserve"> Report)</w:t>
      </w:r>
      <w:r w:rsidR="009E56D1" w:rsidRPr="009211F8">
        <w:rPr>
          <w:rFonts w:ascii="Times New Roman" w:eastAsia="標楷體" w:hAnsi="Times New Roman" w:cs="Times New Roman"/>
          <w:color w:val="000000"/>
        </w:rPr>
        <w:t>」之範圍如下：</w:t>
      </w:r>
    </w:p>
    <w:p w:rsidR="00C1488B" w:rsidRPr="009211F8" w:rsidRDefault="009E56D1">
      <w:pPr>
        <w:pStyle w:val="Web"/>
        <w:numPr>
          <w:ilvl w:val="0"/>
          <w:numId w:val="2"/>
        </w:numPr>
        <w:spacing w:beforeAutospacing="0" w:after="0" w:line="400" w:lineRule="exact"/>
        <w:jc w:val="both"/>
        <w:rPr>
          <w:rFonts w:ascii="Times New Roman" w:eastAsia="標楷體" w:hAnsi="Times New Roman" w:cs="Times New Roman"/>
          <w:color w:val="000000"/>
        </w:rPr>
      </w:pPr>
      <w:r w:rsidRPr="009211F8">
        <w:rPr>
          <w:rFonts w:ascii="Times New Roman" w:eastAsia="標楷體" w:hAnsi="Times New Roman" w:cs="Times New Roman"/>
          <w:color w:val="000000"/>
        </w:rPr>
        <w:t>其屬跨國企業集團之最終母公司，該集團前一年度合併收入總額未達新臺幣</w:t>
      </w:r>
      <w:r w:rsidRPr="009211F8">
        <w:rPr>
          <w:rFonts w:ascii="Times New Roman" w:eastAsia="標楷體" w:hAnsi="Times New Roman" w:cs="Times New Roman"/>
          <w:color w:val="000000"/>
        </w:rPr>
        <w:t>270</w:t>
      </w:r>
      <w:r w:rsidRPr="009211F8">
        <w:rPr>
          <w:rFonts w:ascii="Times New Roman" w:eastAsia="標楷體" w:hAnsi="Times New Roman" w:cs="Times New Roman"/>
          <w:color w:val="000000"/>
        </w:rPr>
        <w:t>億元【依經濟合作暨發展組織</w:t>
      </w:r>
      <w:r w:rsidRPr="009211F8">
        <w:rPr>
          <w:rFonts w:ascii="Times New Roman" w:eastAsia="標楷體" w:hAnsi="Times New Roman" w:cs="Times New Roman"/>
          <w:color w:val="000000"/>
        </w:rPr>
        <w:t>(</w:t>
      </w:r>
      <w:r w:rsidRPr="009211F8">
        <w:rPr>
          <w:rFonts w:ascii="Times New Roman" w:eastAsia="標楷體" w:hAnsi="Times New Roman" w:cs="Times New Roman"/>
          <w:color w:val="000000"/>
        </w:rPr>
        <w:t>以下簡稱</w:t>
      </w:r>
      <w:r w:rsidRPr="009211F8">
        <w:rPr>
          <w:rFonts w:ascii="Times New Roman" w:eastAsia="標楷體" w:hAnsi="Times New Roman" w:cs="Times New Roman"/>
          <w:color w:val="000000"/>
        </w:rPr>
        <w:t>OECD)</w:t>
      </w:r>
      <w:r w:rsidRPr="009211F8">
        <w:rPr>
          <w:rFonts w:ascii="Times New Roman" w:eastAsia="標楷體" w:hAnsi="Times New Roman" w:cs="Times New Roman"/>
          <w:color w:val="000000"/>
        </w:rPr>
        <w:t>稅基侵蝕及利潤移轉</w:t>
      </w:r>
      <w:r w:rsidRPr="009211F8">
        <w:rPr>
          <w:rFonts w:ascii="Times New Roman" w:eastAsia="標楷體" w:hAnsi="Times New Roman" w:cs="Times New Roman"/>
          <w:color w:val="000000"/>
        </w:rPr>
        <w:t>(Base Erosion and Profit Shifting)</w:t>
      </w:r>
      <w:r w:rsidRPr="009211F8">
        <w:rPr>
          <w:rFonts w:ascii="Times New Roman" w:eastAsia="標楷體" w:hAnsi="Times New Roman" w:cs="Times New Roman"/>
          <w:color w:val="000000"/>
        </w:rPr>
        <w:t>行動計畫</w:t>
      </w:r>
      <w:r w:rsidRPr="009211F8">
        <w:rPr>
          <w:rFonts w:ascii="Times New Roman" w:eastAsia="標楷體" w:hAnsi="Times New Roman" w:cs="Times New Roman"/>
          <w:color w:val="000000"/>
        </w:rPr>
        <w:t>13</w:t>
      </w:r>
      <w:r w:rsidRPr="009211F8">
        <w:rPr>
          <w:rFonts w:ascii="Times New Roman" w:eastAsia="標楷體" w:hAnsi="Times New Roman" w:cs="Times New Roman"/>
          <w:color w:val="000000"/>
        </w:rPr>
        <w:t>「移轉訂價文據及國別報告」成果報告規定，以歐元</w:t>
      </w:r>
      <w:r w:rsidRPr="009211F8">
        <w:rPr>
          <w:rFonts w:ascii="Times New Roman" w:eastAsia="標楷體" w:hAnsi="Times New Roman" w:cs="Times New Roman"/>
          <w:color w:val="000000"/>
        </w:rPr>
        <w:t>7.5</w:t>
      </w:r>
      <w:r w:rsidRPr="009211F8">
        <w:rPr>
          <w:rFonts w:ascii="Times New Roman" w:eastAsia="標楷體" w:hAnsi="Times New Roman" w:cs="Times New Roman"/>
          <w:color w:val="000000"/>
        </w:rPr>
        <w:t>億元按我國</w:t>
      </w:r>
      <w:r w:rsidRPr="009211F8">
        <w:rPr>
          <w:rFonts w:ascii="Times New Roman" w:eastAsia="標楷體" w:hAnsi="Times New Roman" w:cs="Times New Roman"/>
          <w:color w:val="000000"/>
        </w:rPr>
        <w:t>104</w:t>
      </w:r>
      <w:r w:rsidRPr="009211F8">
        <w:rPr>
          <w:rFonts w:ascii="Times New Roman" w:eastAsia="標楷體" w:hAnsi="Times New Roman" w:cs="Times New Roman"/>
          <w:color w:val="000000"/>
        </w:rPr>
        <w:t>年</w:t>
      </w:r>
      <w:r w:rsidRPr="009211F8">
        <w:rPr>
          <w:rFonts w:ascii="Times New Roman" w:eastAsia="標楷體" w:hAnsi="Times New Roman" w:cs="Times New Roman"/>
          <w:color w:val="000000"/>
        </w:rPr>
        <w:t>1</w:t>
      </w:r>
      <w:r w:rsidRPr="009211F8">
        <w:rPr>
          <w:rFonts w:ascii="Times New Roman" w:eastAsia="標楷體" w:hAnsi="Times New Roman" w:cs="Times New Roman"/>
          <w:color w:val="000000"/>
        </w:rPr>
        <w:t>月匯率換算等值新臺幣之金額】。</w:t>
      </w:r>
    </w:p>
    <w:p w:rsidR="00C1488B" w:rsidRPr="009211F8" w:rsidRDefault="009E56D1">
      <w:pPr>
        <w:pStyle w:val="Web"/>
        <w:numPr>
          <w:ilvl w:val="0"/>
          <w:numId w:val="2"/>
        </w:numPr>
        <w:spacing w:beforeAutospacing="0" w:after="0" w:line="400" w:lineRule="exact"/>
        <w:jc w:val="both"/>
        <w:rPr>
          <w:rFonts w:ascii="Times New Roman" w:eastAsia="標楷體" w:hAnsi="Times New Roman" w:cs="Times New Roman"/>
          <w:color w:val="000000"/>
        </w:rPr>
      </w:pPr>
      <w:r w:rsidRPr="009211F8">
        <w:rPr>
          <w:rFonts w:ascii="Times New Roman" w:eastAsia="標楷體" w:hAnsi="Times New Roman" w:cs="Times New Roman"/>
          <w:color w:val="000000"/>
        </w:rPr>
        <w:t>其所屬跨國企業集團之最終母公司在中華民國境外，且符合下列規定之</w:t>
      </w:r>
      <w:proofErr w:type="gramStart"/>
      <w:r w:rsidRPr="009211F8">
        <w:rPr>
          <w:rFonts w:ascii="Times New Roman" w:eastAsia="標楷體" w:hAnsi="Times New Roman" w:cs="Times New Roman"/>
          <w:color w:val="000000"/>
        </w:rPr>
        <w:t>一</w:t>
      </w:r>
      <w:proofErr w:type="gramEnd"/>
      <w:r w:rsidRPr="009211F8">
        <w:rPr>
          <w:rFonts w:ascii="Times New Roman" w:eastAsia="標楷體" w:hAnsi="Times New Roman" w:cs="Times New Roman"/>
          <w:color w:val="000000"/>
        </w:rPr>
        <w:t>者：</w:t>
      </w:r>
    </w:p>
    <w:p w:rsidR="00C1488B" w:rsidRPr="009211F8" w:rsidRDefault="009E56D1">
      <w:pPr>
        <w:pStyle w:val="Web"/>
        <w:numPr>
          <w:ilvl w:val="0"/>
          <w:numId w:val="3"/>
        </w:numPr>
        <w:spacing w:beforeAutospacing="0" w:after="0" w:line="400" w:lineRule="exact"/>
        <w:jc w:val="both"/>
        <w:rPr>
          <w:rFonts w:ascii="Times New Roman" w:eastAsia="標楷體" w:hAnsi="Times New Roman" w:cs="Times New Roman"/>
          <w:color w:val="000000"/>
        </w:rPr>
      </w:pPr>
      <w:r w:rsidRPr="009211F8">
        <w:rPr>
          <w:rFonts w:ascii="Times New Roman" w:eastAsia="標楷體" w:hAnsi="Times New Roman" w:cs="Times New Roman"/>
          <w:color w:val="000000"/>
        </w:rPr>
        <w:t>最終母公司居住地國或地區定有申報國別報告之法令規定，且該集團符合該居住地國或地區依前開</w:t>
      </w:r>
      <w:r w:rsidRPr="009211F8">
        <w:rPr>
          <w:rFonts w:ascii="Times New Roman" w:eastAsia="標楷體" w:hAnsi="Times New Roman" w:cs="Times New Roman"/>
          <w:color w:val="000000"/>
        </w:rPr>
        <w:t>OECD</w:t>
      </w:r>
      <w:r w:rsidRPr="009211F8">
        <w:rPr>
          <w:rFonts w:ascii="Times New Roman" w:eastAsia="標楷體" w:hAnsi="Times New Roman" w:cs="Times New Roman"/>
          <w:color w:val="000000"/>
        </w:rPr>
        <w:t>成果報告規定訂定之免送交國別報告標準。</w:t>
      </w:r>
    </w:p>
    <w:p w:rsidR="00C1488B" w:rsidRPr="009211F8" w:rsidRDefault="009E56D1">
      <w:pPr>
        <w:pStyle w:val="Web"/>
        <w:numPr>
          <w:ilvl w:val="0"/>
          <w:numId w:val="3"/>
        </w:numPr>
        <w:spacing w:beforeAutospacing="0" w:after="0" w:line="400" w:lineRule="exact"/>
        <w:jc w:val="both"/>
        <w:rPr>
          <w:rFonts w:ascii="Times New Roman" w:eastAsia="標楷體" w:hAnsi="Times New Roman" w:cs="Times New Roman"/>
          <w:color w:val="000000"/>
        </w:rPr>
      </w:pPr>
      <w:r w:rsidRPr="009211F8">
        <w:rPr>
          <w:rFonts w:ascii="Times New Roman" w:eastAsia="標楷體" w:hAnsi="Times New Roman" w:cs="Times New Roman"/>
          <w:color w:val="000000"/>
        </w:rPr>
        <w:t>最終母公司居住地國或地區未定有申報國別報告之法令規定，經該集團指定其他成員代理最終母公司送交國別報告</w:t>
      </w:r>
      <w:r w:rsidRPr="009211F8">
        <w:rPr>
          <w:rFonts w:ascii="Times New Roman" w:eastAsia="標楷體" w:hAnsi="Times New Roman" w:cs="Times New Roman"/>
          <w:color w:val="000000"/>
        </w:rPr>
        <w:t>(</w:t>
      </w:r>
      <w:r w:rsidRPr="009211F8">
        <w:rPr>
          <w:rFonts w:ascii="Times New Roman" w:eastAsia="標楷體" w:hAnsi="Times New Roman" w:cs="Times New Roman"/>
          <w:color w:val="000000"/>
        </w:rPr>
        <w:t>以下簡稱代理母公司送交成員</w:t>
      </w:r>
      <w:r w:rsidRPr="009211F8">
        <w:rPr>
          <w:rFonts w:ascii="Times New Roman" w:eastAsia="標楷體" w:hAnsi="Times New Roman" w:cs="Times New Roman"/>
          <w:color w:val="000000"/>
        </w:rPr>
        <w:t>)</w:t>
      </w:r>
      <w:r w:rsidRPr="009211F8">
        <w:rPr>
          <w:rFonts w:ascii="Times New Roman" w:eastAsia="標楷體" w:hAnsi="Times New Roman" w:cs="Times New Roman"/>
          <w:color w:val="000000"/>
        </w:rPr>
        <w:t>，且符合該代理母公司送交成員居住地國或地區依前開</w:t>
      </w:r>
      <w:r w:rsidRPr="009211F8">
        <w:rPr>
          <w:rFonts w:ascii="Times New Roman" w:eastAsia="標楷體" w:hAnsi="Times New Roman" w:cs="Times New Roman"/>
          <w:color w:val="000000"/>
        </w:rPr>
        <w:t>OECD</w:t>
      </w:r>
      <w:r w:rsidRPr="009211F8">
        <w:rPr>
          <w:rFonts w:ascii="Times New Roman" w:eastAsia="標楷體" w:hAnsi="Times New Roman" w:cs="Times New Roman"/>
          <w:color w:val="000000"/>
        </w:rPr>
        <w:t>成果報告規定訂定之免送交國別報告標準。</w:t>
      </w:r>
    </w:p>
    <w:p w:rsidR="00C1488B" w:rsidRPr="009211F8" w:rsidRDefault="009E56D1">
      <w:pPr>
        <w:pStyle w:val="Web"/>
        <w:numPr>
          <w:ilvl w:val="0"/>
          <w:numId w:val="3"/>
        </w:numPr>
        <w:spacing w:beforeAutospacing="0" w:after="0" w:line="400" w:lineRule="exact"/>
        <w:jc w:val="both"/>
        <w:rPr>
          <w:rFonts w:ascii="Times New Roman" w:eastAsia="標楷體" w:hAnsi="Times New Roman" w:cs="Times New Roman"/>
        </w:rPr>
      </w:pPr>
      <w:r w:rsidRPr="009211F8">
        <w:rPr>
          <w:rFonts w:ascii="Times New Roman" w:eastAsia="標楷體" w:hAnsi="Times New Roman" w:cs="Times New Roman"/>
          <w:color w:val="000000"/>
        </w:rPr>
        <w:t>最終母公司居住地國或地區未定有申報國別報告之法令規定，且未指定集團其他成員為代理母公司送交成員，符合前款我國</w:t>
      </w:r>
      <w:proofErr w:type="gramStart"/>
      <w:r w:rsidRPr="009211F8">
        <w:rPr>
          <w:rFonts w:ascii="Times New Roman" w:eastAsia="標楷體" w:hAnsi="Times New Roman" w:cs="Times New Roman"/>
          <w:color w:val="000000"/>
        </w:rPr>
        <w:t>所定免送交</w:t>
      </w:r>
      <w:proofErr w:type="gramEnd"/>
      <w:r w:rsidRPr="009211F8">
        <w:rPr>
          <w:rFonts w:ascii="Times New Roman" w:eastAsia="標楷體" w:hAnsi="Times New Roman" w:cs="Times New Roman"/>
          <w:color w:val="000000"/>
        </w:rPr>
        <w:t>國別報告標準。</w:t>
      </w:r>
    </w:p>
    <w:p w:rsidR="00C1488B" w:rsidRPr="009211F8" w:rsidRDefault="00C1488B" w:rsidP="00250FCA">
      <w:pPr>
        <w:pStyle w:val="Web"/>
        <w:spacing w:beforeAutospacing="0" w:after="0" w:line="400" w:lineRule="exact"/>
        <w:ind w:left="454" w:hanging="454"/>
        <w:jc w:val="both"/>
        <w:rPr>
          <w:rFonts w:ascii="Times New Roman" w:eastAsia="標楷體" w:hAnsi="Times New Roman" w:cs="Times New Roman"/>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color w:val="000000"/>
        </w:rPr>
      </w:pPr>
    </w:p>
    <w:p w:rsidR="00C1488B" w:rsidRPr="009211F8" w:rsidRDefault="00C1488B">
      <w:pPr>
        <w:pStyle w:val="Web"/>
        <w:spacing w:before="240" w:beforeAutospacing="0" w:after="284" w:line="340" w:lineRule="exact"/>
        <w:rPr>
          <w:rFonts w:ascii="Times New Roman" w:eastAsia="標楷體" w:hAnsi="Times New Roman" w:cs="Times New Roman"/>
        </w:rPr>
      </w:pPr>
    </w:p>
    <w:p w:rsidR="00C1488B" w:rsidRPr="009211F8" w:rsidRDefault="009E56D1">
      <w:pPr>
        <w:spacing w:after="240" w:line="320" w:lineRule="exact"/>
        <w:ind w:left="964" w:hanging="404"/>
        <w:rPr>
          <w:rFonts w:eastAsia="標楷體"/>
        </w:rPr>
      </w:pPr>
      <w:r w:rsidRPr="009211F8">
        <w:rPr>
          <w:rFonts w:eastAsia="標楷體"/>
        </w:rPr>
        <w:t xml:space="preserve"> </w:t>
      </w:r>
    </w:p>
    <w:sectPr w:rsidR="00C1488B" w:rsidRPr="009211F8">
      <w:footerReference w:type="default" r:id="rId8"/>
      <w:pgSz w:w="16838" w:h="23811"/>
      <w:pgMar w:top="567" w:right="964" w:bottom="794" w:left="1134" w:header="0" w:footer="737" w:gutter="0"/>
      <w:cols w:space="720"/>
      <w:formProt w:val="0"/>
      <w:docGrid w:type="lines" w:linePitch="360"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25F" w:rsidRDefault="0051225F">
      <w:pPr>
        <w:spacing w:after="0" w:line="240" w:lineRule="auto"/>
      </w:pPr>
      <w:r>
        <w:separator/>
      </w:r>
    </w:p>
  </w:endnote>
  <w:endnote w:type="continuationSeparator" w:id="0">
    <w:p w:rsidR="0051225F" w:rsidRDefault="00512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Liberation Sans">
    <w:altName w:val="Arial"/>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087" w:usb1="288F4000" w:usb2="00000016" w:usb3="00000000" w:csb0="00100009"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88B" w:rsidRDefault="009E56D1">
    <w:pPr>
      <w:pStyle w:val="a8"/>
      <w:jc w:val="center"/>
      <w:rPr>
        <w:sz w:val="24"/>
        <w:szCs w:val="28"/>
      </w:rPr>
    </w:pPr>
    <w:r>
      <w:rPr>
        <w:sz w:val="24"/>
        <w:szCs w:val="28"/>
      </w:rPr>
      <w:t>(</w:t>
    </w:r>
    <w:r>
      <w:rPr>
        <w:sz w:val="24"/>
        <w:szCs w:val="28"/>
      </w:rPr>
      <w:t>第</w:t>
    </w:r>
    <w:r>
      <w:rPr>
        <w:sz w:val="24"/>
        <w:szCs w:val="28"/>
      </w:rPr>
      <w:t>B6</w:t>
    </w:r>
    <w:r>
      <w:rPr>
        <w:sz w:val="24"/>
        <w:szCs w:val="28"/>
      </w:rPr>
      <w:t>頁背面</w:t>
    </w:r>
    <w:r>
      <w:rPr>
        <w:sz w:val="24"/>
        <w:szCs w:val="28"/>
      </w:rPr>
      <w:t>)</w:t>
    </w:r>
  </w:p>
  <w:p w:rsidR="00C1488B" w:rsidRDefault="00C1488B">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25F" w:rsidRDefault="0051225F">
      <w:pPr>
        <w:spacing w:after="0" w:line="240" w:lineRule="auto"/>
      </w:pPr>
      <w:r>
        <w:separator/>
      </w:r>
    </w:p>
  </w:footnote>
  <w:footnote w:type="continuationSeparator" w:id="0">
    <w:p w:rsidR="0051225F" w:rsidRDefault="005122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D1BCD"/>
    <w:multiLevelType w:val="multilevel"/>
    <w:tmpl w:val="A0FA3970"/>
    <w:lvl w:ilvl="0">
      <w:start w:val="1"/>
      <w:numFmt w:val="taiwaneseCountingThousand"/>
      <w:lvlText w:val="(%1)"/>
      <w:lvlJc w:val="left"/>
      <w:pPr>
        <w:ind w:left="1025" w:hanging="600"/>
      </w:pPr>
    </w:lvl>
    <w:lvl w:ilvl="1">
      <w:start w:val="1"/>
      <w:numFmt w:val="ideographTradition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ideographTradition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ideographTraditional"/>
      <w:lvlText w:val="%8、"/>
      <w:lvlJc w:val="left"/>
      <w:pPr>
        <w:ind w:left="4265" w:hanging="480"/>
      </w:pPr>
    </w:lvl>
    <w:lvl w:ilvl="8">
      <w:start w:val="1"/>
      <w:numFmt w:val="lowerRoman"/>
      <w:lvlText w:val="%9."/>
      <w:lvlJc w:val="right"/>
      <w:pPr>
        <w:ind w:left="4745" w:hanging="480"/>
      </w:pPr>
    </w:lvl>
  </w:abstractNum>
  <w:abstractNum w:abstractNumId="1">
    <w:nsid w:val="22F95092"/>
    <w:multiLevelType w:val="multilevel"/>
    <w:tmpl w:val="4AF0452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nsid w:val="723E021C"/>
    <w:multiLevelType w:val="multilevel"/>
    <w:tmpl w:val="1E96CA3E"/>
    <w:lvl w:ilvl="0">
      <w:start w:val="1"/>
      <w:numFmt w:val="decimal"/>
      <w:lvlText w:val="%1."/>
      <w:lvlJc w:val="left"/>
      <w:pPr>
        <w:ind w:left="1385" w:hanging="360"/>
      </w:pPr>
    </w:lvl>
    <w:lvl w:ilvl="1">
      <w:start w:val="1"/>
      <w:numFmt w:val="ideographTraditional"/>
      <w:lvlText w:val="%2、"/>
      <w:lvlJc w:val="left"/>
      <w:pPr>
        <w:ind w:left="1985" w:hanging="480"/>
      </w:pPr>
    </w:lvl>
    <w:lvl w:ilvl="2">
      <w:start w:val="1"/>
      <w:numFmt w:val="lowerRoman"/>
      <w:lvlText w:val="%3."/>
      <w:lvlJc w:val="right"/>
      <w:pPr>
        <w:ind w:left="2465" w:hanging="480"/>
      </w:pPr>
    </w:lvl>
    <w:lvl w:ilvl="3">
      <w:start w:val="1"/>
      <w:numFmt w:val="decimal"/>
      <w:lvlText w:val="%4."/>
      <w:lvlJc w:val="left"/>
      <w:pPr>
        <w:ind w:left="2945" w:hanging="480"/>
      </w:pPr>
    </w:lvl>
    <w:lvl w:ilvl="4">
      <w:start w:val="1"/>
      <w:numFmt w:val="ideographTraditional"/>
      <w:lvlText w:val="%5、"/>
      <w:lvlJc w:val="left"/>
      <w:pPr>
        <w:ind w:left="3425" w:hanging="480"/>
      </w:pPr>
    </w:lvl>
    <w:lvl w:ilvl="5">
      <w:start w:val="1"/>
      <w:numFmt w:val="lowerRoman"/>
      <w:lvlText w:val="%6."/>
      <w:lvlJc w:val="right"/>
      <w:pPr>
        <w:ind w:left="3905" w:hanging="480"/>
      </w:pPr>
    </w:lvl>
    <w:lvl w:ilvl="6">
      <w:start w:val="1"/>
      <w:numFmt w:val="decimal"/>
      <w:lvlText w:val="%7."/>
      <w:lvlJc w:val="left"/>
      <w:pPr>
        <w:ind w:left="4385" w:hanging="480"/>
      </w:pPr>
    </w:lvl>
    <w:lvl w:ilvl="7">
      <w:start w:val="1"/>
      <w:numFmt w:val="ideographTraditional"/>
      <w:lvlText w:val="%8、"/>
      <w:lvlJc w:val="left"/>
      <w:pPr>
        <w:ind w:left="4865" w:hanging="480"/>
      </w:pPr>
    </w:lvl>
    <w:lvl w:ilvl="8">
      <w:start w:val="1"/>
      <w:numFmt w:val="lowerRoman"/>
      <w:lvlText w:val="%9."/>
      <w:lvlJc w:val="right"/>
      <w:pPr>
        <w:ind w:left="5345" w:hanging="480"/>
      </w:pPr>
    </w:lvl>
  </w:abstractNum>
  <w:abstractNum w:abstractNumId="3">
    <w:nsid w:val="76C530BD"/>
    <w:multiLevelType w:val="multilevel"/>
    <w:tmpl w:val="22380BD4"/>
    <w:lvl w:ilvl="0">
      <w:start w:val="1"/>
      <w:numFmt w:val="taiwaneseCountingThousand"/>
      <w:lvlText w:val="(%1)"/>
      <w:lvlJc w:val="left"/>
      <w:pPr>
        <w:ind w:left="1160" w:hanging="600"/>
      </w:pPr>
    </w:lvl>
    <w:lvl w:ilvl="1">
      <w:start w:val="1"/>
      <w:numFmt w:val="ideographTraditional"/>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ideographTraditional"/>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ideographTraditional"/>
      <w:lvlText w:val="%8、"/>
      <w:lvlJc w:val="left"/>
      <w:pPr>
        <w:ind w:left="4400" w:hanging="480"/>
      </w:pPr>
    </w:lvl>
    <w:lvl w:ilvl="8">
      <w:start w:val="1"/>
      <w:numFmt w:val="lowerRoman"/>
      <w:lvlText w:val="%9."/>
      <w:lvlJc w:val="right"/>
      <w:pPr>
        <w:ind w:left="4880" w:hanging="4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88B"/>
    <w:rsid w:val="00153FAF"/>
    <w:rsid w:val="00250FCA"/>
    <w:rsid w:val="003C0375"/>
    <w:rsid w:val="00422DAE"/>
    <w:rsid w:val="0051225F"/>
    <w:rsid w:val="006374ED"/>
    <w:rsid w:val="006A79BE"/>
    <w:rsid w:val="006E5711"/>
    <w:rsid w:val="0087696E"/>
    <w:rsid w:val="009211F8"/>
    <w:rsid w:val="00951457"/>
    <w:rsid w:val="009563AA"/>
    <w:rsid w:val="009B37F2"/>
    <w:rsid w:val="009B5DD4"/>
    <w:rsid w:val="009E56D1"/>
    <w:rsid w:val="009F7391"/>
    <w:rsid w:val="00C1488B"/>
    <w:rsid w:val="00D70489"/>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40" w:line="288"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網際網路連結"/>
    <w:uiPriority w:val="99"/>
    <w:semiHidden/>
    <w:unhideWhenUsed/>
    <w:rsid w:val="00F269A2"/>
    <w:rPr>
      <w:color w:val="0000FF"/>
      <w:u w:val="single"/>
    </w:rPr>
  </w:style>
  <w:style w:type="character" w:customStyle="1" w:styleId="ListLabel1">
    <w:name w:val="ListLabel 1"/>
    <w:qFormat/>
    <w:rPr>
      <w:color w:val="FF0000"/>
      <w:shd w:val="clear" w:color="auto" w:fill="D8D8D8"/>
    </w:rPr>
  </w:style>
  <w:style w:type="character" w:customStyle="1" w:styleId="ListLabel2">
    <w:name w:val="ListLabel 2"/>
    <w:qFormat/>
    <w:rPr>
      <w:rFonts w:eastAsia="標楷體"/>
    </w:rPr>
  </w:style>
  <w:style w:type="paragraph" w:styleId="a4">
    <w:name w:val="Title"/>
    <w:basedOn w:val="a"/>
    <w:next w:val="a"/>
    <w:qFormat/>
    <w:pPr>
      <w:keepNext/>
      <w:spacing w:before="240" w:after="120"/>
    </w:pPr>
    <w:rPr>
      <w:rFonts w:ascii="Liberation Sans" w:eastAsia="微軟正黑體" w:hAnsi="Liberation Sans" w:cs="Mangal"/>
      <w:sz w:val="28"/>
      <w:szCs w:val="28"/>
    </w:rPr>
  </w:style>
  <w:style w:type="paragraph" w:styleId="a5">
    <w:name w:val="List"/>
    <w:basedOn w:val="a"/>
    <w:rPr>
      <w:rFonts w:cs="Mangal"/>
    </w:rPr>
  </w:style>
  <w:style w:type="paragraph" w:customStyle="1" w:styleId="a6">
    <w:name w:val="圖表標示"/>
    <w:basedOn w:val="a"/>
    <w:pPr>
      <w:suppressLineNumbers/>
      <w:spacing w:before="120" w:after="120"/>
    </w:pPr>
    <w:rPr>
      <w:rFonts w:cs="Mangal"/>
      <w:i/>
      <w:iCs/>
      <w:sz w:val="24"/>
      <w:szCs w:val="24"/>
    </w:rPr>
  </w:style>
  <w:style w:type="paragraph" w:customStyle="1" w:styleId="a7">
    <w:name w:val="索引"/>
    <w:basedOn w:val="a"/>
    <w:qFormat/>
    <w:pPr>
      <w:suppressLineNumbers/>
    </w:pPr>
    <w:rPr>
      <w:rFonts w:cs="Mangal"/>
    </w:rPr>
  </w:style>
  <w:style w:type="paragraph" w:styleId="a8">
    <w:name w:val="footer"/>
    <w:basedOn w:val="a"/>
    <w:semiHidden/>
    <w:pPr>
      <w:tabs>
        <w:tab w:val="center" w:pos="4153"/>
        <w:tab w:val="right" w:pos="8306"/>
      </w:tabs>
    </w:pPr>
  </w:style>
  <w:style w:type="paragraph" w:styleId="a9">
    <w:name w:val="Balloon Text"/>
    <w:basedOn w:val="a"/>
    <w:semiHidden/>
    <w:qFormat/>
    <w:rPr>
      <w:rFonts w:ascii="Arial" w:hAnsi="Arial"/>
      <w:sz w:val="18"/>
      <w:szCs w:val="18"/>
    </w:rPr>
  </w:style>
  <w:style w:type="paragraph" w:styleId="aa">
    <w:name w:val="header"/>
    <w:basedOn w:val="a"/>
    <w:semiHidden/>
    <w:pPr>
      <w:tabs>
        <w:tab w:val="center" w:pos="4153"/>
        <w:tab w:val="right" w:pos="8306"/>
      </w:tabs>
    </w:pPr>
  </w:style>
  <w:style w:type="paragraph" w:customStyle="1" w:styleId="ab">
    <w:name w:val="公文(後續段落)"/>
    <w:basedOn w:val="a"/>
    <w:qFormat/>
    <w:rsid w:val="008D0DFF"/>
    <w:pPr>
      <w:spacing w:line="500" w:lineRule="exact"/>
      <w:ind w:left="317"/>
    </w:pPr>
    <w:rPr>
      <w:sz w:val="32"/>
      <w:szCs w:val="24"/>
    </w:rPr>
  </w:style>
  <w:style w:type="paragraph" w:customStyle="1" w:styleId="sdfootnote">
    <w:name w:val="sdfootnote"/>
    <w:basedOn w:val="a"/>
    <w:qFormat/>
    <w:rsid w:val="00F269A2"/>
    <w:pPr>
      <w:spacing w:beforeAutospacing="1" w:after="0"/>
      <w:ind w:left="284" w:hanging="284"/>
    </w:pPr>
    <w:rPr>
      <w:rFonts w:ascii="新細明體" w:hAnsi="新細明體" w:cs="新細明體"/>
    </w:rPr>
  </w:style>
  <w:style w:type="paragraph" w:styleId="ac">
    <w:name w:val="List Paragraph"/>
    <w:basedOn w:val="a"/>
    <w:uiPriority w:val="34"/>
    <w:qFormat/>
    <w:rsid w:val="00313F79"/>
    <w:pPr>
      <w:ind w:left="480"/>
    </w:pPr>
  </w:style>
  <w:style w:type="paragraph" w:styleId="Web">
    <w:name w:val="Normal (Web)"/>
    <w:basedOn w:val="a"/>
    <w:uiPriority w:val="99"/>
    <w:unhideWhenUsed/>
    <w:qFormat/>
    <w:rsid w:val="003A4F44"/>
    <w:pPr>
      <w:spacing w:beforeAutospacing="1" w:after="119"/>
    </w:pPr>
    <w:rPr>
      <w:rFonts w:ascii="新細明體" w:hAnsi="新細明體" w:cs="新細明體"/>
      <w:sz w:val="24"/>
      <w:szCs w:val="24"/>
    </w:rPr>
  </w:style>
  <w:style w:type="paragraph" w:customStyle="1" w:styleId="ad">
    <w:name w:val="框架內容"/>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40" w:line="288"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網際網路連結"/>
    <w:uiPriority w:val="99"/>
    <w:semiHidden/>
    <w:unhideWhenUsed/>
    <w:rsid w:val="00F269A2"/>
    <w:rPr>
      <w:color w:val="0000FF"/>
      <w:u w:val="single"/>
    </w:rPr>
  </w:style>
  <w:style w:type="character" w:customStyle="1" w:styleId="ListLabel1">
    <w:name w:val="ListLabel 1"/>
    <w:qFormat/>
    <w:rPr>
      <w:color w:val="FF0000"/>
      <w:shd w:val="clear" w:color="auto" w:fill="D8D8D8"/>
    </w:rPr>
  </w:style>
  <w:style w:type="character" w:customStyle="1" w:styleId="ListLabel2">
    <w:name w:val="ListLabel 2"/>
    <w:qFormat/>
    <w:rPr>
      <w:rFonts w:eastAsia="標楷體"/>
    </w:rPr>
  </w:style>
  <w:style w:type="paragraph" w:styleId="a4">
    <w:name w:val="Title"/>
    <w:basedOn w:val="a"/>
    <w:next w:val="a"/>
    <w:qFormat/>
    <w:pPr>
      <w:keepNext/>
      <w:spacing w:before="240" w:after="120"/>
    </w:pPr>
    <w:rPr>
      <w:rFonts w:ascii="Liberation Sans" w:eastAsia="微軟正黑體" w:hAnsi="Liberation Sans" w:cs="Mangal"/>
      <w:sz w:val="28"/>
      <w:szCs w:val="28"/>
    </w:rPr>
  </w:style>
  <w:style w:type="paragraph" w:styleId="a5">
    <w:name w:val="List"/>
    <w:basedOn w:val="a"/>
    <w:rPr>
      <w:rFonts w:cs="Mangal"/>
    </w:rPr>
  </w:style>
  <w:style w:type="paragraph" w:customStyle="1" w:styleId="a6">
    <w:name w:val="圖表標示"/>
    <w:basedOn w:val="a"/>
    <w:pPr>
      <w:suppressLineNumbers/>
      <w:spacing w:before="120" w:after="120"/>
    </w:pPr>
    <w:rPr>
      <w:rFonts w:cs="Mangal"/>
      <w:i/>
      <w:iCs/>
      <w:sz w:val="24"/>
      <w:szCs w:val="24"/>
    </w:rPr>
  </w:style>
  <w:style w:type="paragraph" w:customStyle="1" w:styleId="a7">
    <w:name w:val="索引"/>
    <w:basedOn w:val="a"/>
    <w:qFormat/>
    <w:pPr>
      <w:suppressLineNumbers/>
    </w:pPr>
    <w:rPr>
      <w:rFonts w:cs="Mangal"/>
    </w:rPr>
  </w:style>
  <w:style w:type="paragraph" w:styleId="a8">
    <w:name w:val="footer"/>
    <w:basedOn w:val="a"/>
    <w:semiHidden/>
    <w:pPr>
      <w:tabs>
        <w:tab w:val="center" w:pos="4153"/>
        <w:tab w:val="right" w:pos="8306"/>
      </w:tabs>
    </w:pPr>
  </w:style>
  <w:style w:type="paragraph" w:styleId="a9">
    <w:name w:val="Balloon Text"/>
    <w:basedOn w:val="a"/>
    <w:semiHidden/>
    <w:qFormat/>
    <w:rPr>
      <w:rFonts w:ascii="Arial" w:hAnsi="Arial"/>
      <w:sz w:val="18"/>
      <w:szCs w:val="18"/>
    </w:rPr>
  </w:style>
  <w:style w:type="paragraph" w:styleId="aa">
    <w:name w:val="header"/>
    <w:basedOn w:val="a"/>
    <w:semiHidden/>
    <w:pPr>
      <w:tabs>
        <w:tab w:val="center" w:pos="4153"/>
        <w:tab w:val="right" w:pos="8306"/>
      </w:tabs>
    </w:pPr>
  </w:style>
  <w:style w:type="paragraph" w:customStyle="1" w:styleId="ab">
    <w:name w:val="公文(後續段落)"/>
    <w:basedOn w:val="a"/>
    <w:qFormat/>
    <w:rsid w:val="008D0DFF"/>
    <w:pPr>
      <w:spacing w:line="500" w:lineRule="exact"/>
      <w:ind w:left="317"/>
    </w:pPr>
    <w:rPr>
      <w:sz w:val="32"/>
      <w:szCs w:val="24"/>
    </w:rPr>
  </w:style>
  <w:style w:type="paragraph" w:customStyle="1" w:styleId="sdfootnote">
    <w:name w:val="sdfootnote"/>
    <w:basedOn w:val="a"/>
    <w:qFormat/>
    <w:rsid w:val="00F269A2"/>
    <w:pPr>
      <w:spacing w:beforeAutospacing="1" w:after="0"/>
      <w:ind w:left="284" w:hanging="284"/>
    </w:pPr>
    <w:rPr>
      <w:rFonts w:ascii="新細明體" w:hAnsi="新細明體" w:cs="新細明體"/>
    </w:rPr>
  </w:style>
  <w:style w:type="paragraph" w:styleId="ac">
    <w:name w:val="List Paragraph"/>
    <w:basedOn w:val="a"/>
    <w:uiPriority w:val="34"/>
    <w:qFormat/>
    <w:rsid w:val="00313F79"/>
    <w:pPr>
      <w:ind w:left="480"/>
    </w:pPr>
  </w:style>
  <w:style w:type="paragraph" w:styleId="Web">
    <w:name w:val="Normal (Web)"/>
    <w:basedOn w:val="a"/>
    <w:uiPriority w:val="99"/>
    <w:unhideWhenUsed/>
    <w:qFormat/>
    <w:rsid w:val="003A4F44"/>
    <w:pPr>
      <w:spacing w:beforeAutospacing="1" w:after="119"/>
    </w:pPr>
    <w:rPr>
      <w:rFonts w:ascii="新細明體" w:hAnsi="新細明體" w:cs="新細明體"/>
      <w:sz w:val="24"/>
      <w:szCs w:val="24"/>
    </w:rPr>
  </w:style>
  <w:style w:type="paragraph" w:customStyle="1" w:styleId="ad">
    <w:name w:val="框架內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153</Words>
  <Characters>877</Characters>
  <Application>Microsoft Office Word</Application>
  <DocSecurity>0</DocSecurity>
  <Lines>7</Lines>
  <Paragraphs>2</Paragraphs>
  <ScaleCrop>false</ScaleCrop>
  <Company>財政部</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94年度關係人結構圖</dc:title>
  <dc:creator>宋秀玲</dc:creator>
  <cp:lastModifiedBy>黃燕雯</cp:lastModifiedBy>
  <cp:revision>3</cp:revision>
  <cp:lastPrinted>2017-12-22T06:20:00Z</cp:lastPrinted>
  <dcterms:created xsi:type="dcterms:W3CDTF">2017-12-25T04:08:00Z</dcterms:created>
  <dcterms:modified xsi:type="dcterms:W3CDTF">2017-12-25T04:28:00Z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財政部</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